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C680" w14:textId="46200A7B" w:rsidR="00530E4D" w:rsidRPr="00FF4B8A" w:rsidRDefault="00530E4D">
      <w:pPr>
        <w:pStyle w:val="Textoindependiente"/>
        <w:spacing w:before="36"/>
      </w:pPr>
    </w:p>
    <w:tbl>
      <w:tblPr>
        <w:tblW w:w="0" w:type="auto"/>
        <w:jc w:val="center"/>
        <w:tblBorders>
          <w:bottom w:val="single" w:sz="4" w:space="0" w:color="auto"/>
        </w:tblBorders>
        <w:tblLook w:val="01E0" w:firstRow="1" w:lastRow="1" w:firstColumn="1" w:lastColumn="1" w:noHBand="0" w:noVBand="0"/>
      </w:tblPr>
      <w:tblGrid>
        <w:gridCol w:w="6946"/>
        <w:gridCol w:w="1843"/>
      </w:tblGrid>
      <w:tr w:rsidR="00F37B45" w:rsidRPr="00FF4B8A" w14:paraId="7C312026" w14:textId="77777777" w:rsidTr="00DD4D54">
        <w:trPr>
          <w:trHeight w:val="852"/>
          <w:jc w:val="center"/>
        </w:trPr>
        <w:tc>
          <w:tcPr>
            <w:tcW w:w="6946" w:type="dxa"/>
            <w:vMerge w:val="restart"/>
            <w:tcBorders>
              <w:right w:val="single" w:sz="4" w:space="0" w:color="auto"/>
            </w:tcBorders>
          </w:tcPr>
          <w:p w14:paraId="4E691DD7" w14:textId="77777777" w:rsidR="00F37B45" w:rsidRPr="00FF4B8A" w:rsidRDefault="00F37B45" w:rsidP="00DD4D54">
            <w:pPr>
              <w:tabs>
                <w:tab w:val="left" w:pos="-108"/>
              </w:tabs>
              <w:ind w:left="-108"/>
              <w:rPr>
                <w:rFonts w:cs="Arial"/>
                <w:b/>
                <w:bCs/>
                <w:i/>
                <w:iCs/>
                <w:color w:val="000066"/>
                <w:sz w:val="12"/>
                <w:szCs w:val="12"/>
                <w:lang w:eastAsia="it-IT"/>
              </w:rPr>
            </w:pPr>
            <w:bookmarkStart w:id="0" w:name="_Hlk145068772"/>
            <w:r w:rsidRPr="00FF4B8A">
              <w:rPr>
                <w:rFonts w:cs="AdvP6960"/>
                <w:noProof/>
                <w:color w:val="241F20"/>
                <w:szCs w:val="18"/>
                <w:lang w:val="es-PE" w:eastAsia="es-PE"/>
              </w:rPr>
              <w:drawing>
                <wp:inline distT="0" distB="0" distL="0" distR="0" wp14:anchorId="524281CA" wp14:editId="5C79FBD9">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FF4B8A">
              <w:rPr>
                <w:rFonts w:cs="AdvP6960"/>
                <w:color w:val="241F20"/>
                <w:szCs w:val="18"/>
                <w:lang w:eastAsia="it-IT"/>
              </w:rPr>
              <w:t xml:space="preserve"> </w:t>
            </w:r>
            <w:r w:rsidRPr="00FF4B8A">
              <w:rPr>
                <w:rFonts w:cs="Arial"/>
                <w:b/>
                <w:bCs/>
                <w:i/>
                <w:iCs/>
                <w:color w:val="000066"/>
                <w:sz w:val="24"/>
                <w:szCs w:val="24"/>
                <w:lang w:eastAsia="it-IT"/>
              </w:rPr>
              <w:t>CHEMICAL ENGINEERING</w:t>
            </w:r>
            <w:r w:rsidRPr="00FF4B8A">
              <w:rPr>
                <w:rFonts w:cs="Arial"/>
                <w:b/>
                <w:bCs/>
                <w:i/>
                <w:iCs/>
                <w:color w:val="0033FF"/>
                <w:sz w:val="24"/>
                <w:szCs w:val="24"/>
                <w:lang w:eastAsia="it-IT"/>
              </w:rPr>
              <w:t xml:space="preserve"> </w:t>
            </w:r>
            <w:r w:rsidRPr="00FF4B8A">
              <w:rPr>
                <w:rFonts w:cs="Arial"/>
                <w:b/>
                <w:bCs/>
                <w:i/>
                <w:iCs/>
                <w:color w:val="666666"/>
                <w:sz w:val="24"/>
                <w:szCs w:val="24"/>
                <w:lang w:eastAsia="it-IT"/>
              </w:rPr>
              <w:t>TRANSACTIONS</w:t>
            </w:r>
            <w:r w:rsidRPr="00FF4B8A">
              <w:rPr>
                <w:color w:val="333333"/>
                <w:sz w:val="24"/>
                <w:szCs w:val="24"/>
                <w:lang w:eastAsia="it-IT"/>
              </w:rPr>
              <w:t xml:space="preserve"> </w:t>
            </w:r>
            <w:r w:rsidRPr="00FF4B8A">
              <w:rPr>
                <w:rFonts w:cs="Arial"/>
                <w:b/>
                <w:bCs/>
                <w:i/>
                <w:iCs/>
                <w:color w:val="000066"/>
                <w:sz w:val="27"/>
                <w:szCs w:val="27"/>
                <w:lang w:eastAsia="it-IT"/>
              </w:rPr>
              <w:br/>
            </w:r>
          </w:p>
          <w:p w14:paraId="31AA9434" w14:textId="77777777" w:rsidR="00F37B45" w:rsidRPr="00FF4B8A" w:rsidRDefault="00F37B45" w:rsidP="00DD4D54">
            <w:pPr>
              <w:tabs>
                <w:tab w:val="left" w:pos="-108"/>
              </w:tabs>
              <w:ind w:left="-108"/>
              <w:rPr>
                <w:rFonts w:cs="Arial"/>
                <w:b/>
                <w:bCs/>
                <w:i/>
                <w:iCs/>
                <w:color w:val="000066"/>
                <w:lang w:eastAsia="it-IT"/>
              </w:rPr>
            </w:pPr>
            <w:r w:rsidRPr="00FF4B8A">
              <w:rPr>
                <w:rFonts w:cs="Arial"/>
                <w:b/>
                <w:bCs/>
                <w:i/>
                <w:iCs/>
                <w:color w:val="000066"/>
                <w:lang w:eastAsia="it-IT"/>
              </w:rPr>
              <w:t>VOL. xxx, 2026</w:t>
            </w:r>
          </w:p>
        </w:tc>
        <w:tc>
          <w:tcPr>
            <w:tcW w:w="1843" w:type="dxa"/>
            <w:tcBorders>
              <w:left w:val="single" w:sz="4" w:space="0" w:color="auto"/>
              <w:bottom w:val="nil"/>
              <w:right w:val="single" w:sz="4" w:space="0" w:color="auto"/>
            </w:tcBorders>
          </w:tcPr>
          <w:p w14:paraId="78045339" w14:textId="77777777" w:rsidR="00F37B45" w:rsidRPr="00FF4B8A" w:rsidRDefault="00F37B45" w:rsidP="00DD4D54">
            <w:pPr>
              <w:spacing w:line="140" w:lineRule="atLeast"/>
              <w:jc w:val="right"/>
              <w:rPr>
                <w:rFonts w:cs="Arial"/>
                <w:sz w:val="14"/>
                <w:szCs w:val="14"/>
              </w:rPr>
            </w:pPr>
            <w:r w:rsidRPr="00FF4B8A">
              <w:rPr>
                <w:rFonts w:cs="Arial"/>
                <w:sz w:val="14"/>
                <w:szCs w:val="14"/>
              </w:rPr>
              <w:t>A publication of</w:t>
            </w:r>
          </w:p>
          <w:p w14:paraId="58F9A4B9" w14:textId="77777777" w:rsidR="00F37B45" w:rsidRPr="00FF4B8A" w:rsidRDefault="00F37B45" w:rsidP="00DD4D54">
            <w:pPr>
              <w:jc w:val="right"/>
            </w:pPr>
            <w:r w:rsidRPr="00FF4B8A">
              <w:rPr>
                <w:noProof/>
                <w:lang w:val="es-PE" w:eastAsia="es-PE"/>
              </w:rPr>
              <w:drawing>
                <wp:inline distT="0" distB="0" distL="0" distR="0" wp14:anchorId="4EBF8906" wp14:editId="24F8992D">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F37B45" w:rsidRPr="00FF4B8A" w14:paraId="078A8021" w14:textId="77777777" w:rsidTr="00DD4D54">
        <w:trPr>
          <w:trHeight w:val="567"/>
          <w:jc w:val="center"/>
        </w:trPr>
        <w:tc>
          <w:tcPr>
            <w:tcW w:w="6946" w:type="dxa"/>
            <w:vMerge/>
            <w:tcBorders>
              <w:right w:val="single" w:sz="4" w:space="0" w:color="auto"/>
            </w:tcBorders>
          </w:tcPr>
          <w:p w14:paraId="03AB54EF" w14:textId="77777777" w:rsidR="00F37B45" w:rsidRPr="00FF4B8A" w:rsidRDefault="00F37B45" w:rsidP="00DD4D54">
            <w:pPr>
              <w:tabs>
                <w:tab w:val="left" w:pos="-108"/>
              </w:tabs>
            </w:pPr>
          </w:p>
        </w:tc>
        <w:tc>
          <w:tcPr>
            <w:tcW w:w="1843" w:type="dxa"/>
            <w:tcBorders>
              <w:left w:val="single" w:sz="4" w:space="0" w:color="auto"/>
              <w:bottom w:val="nil"/>
              <w:right w:val="single" w:sz="4" w:space="0" w:color="auto"/>
            </w:tcBorders>
          </w:tcPr>
          <w:p w14:paraId="5EE60381" w14:textId="77777777" w:rsidR="00F37B45" w:rsidRPr="00FF4B8A" w:rsidRDefault="00F37B45" w:rsidP="00DD4D54">
            <w:pPr>
              <w:spacing w:line="140" w:lineRule="atLeast"/>
              <w:jc w:val="right"/>
              <w:rPr>
                <w:rFonts w:cs="Arial"/>
                <w:sz w:val="14"/>
                <w:szCs w:val="14"/>
              </w:rPr>
            </w:pPr>
            <w:r w:rsidRPr="00FF4B8A">
              <w:rPr>
                <w:rFonts w:cs="Arial"/>
                <w:sz w:val="14"/>
                <w:szCs w:val="14"/>
              </w:rPr>
              <w:t>The Italian Association</w:t>
            </w:r>
          </w:p>
          <w:p w14:paraId="39214BEC" w14:textId="77777777" w:rsidR="00F37B45" w:rsidRPr="00FF4B8A" w:rsidRDefault="00F37B45" w:rsidP="00DD4D54">
            <w:pPr>
              <w:spacing w:line="140" w:lineRule="atLeast"/>
              <w:jc w:val="right"/>
              <w:rPr>
                <w:rFonts w:cs="Arial"/>
                <w:sz w:val="14"/>
                <w:szCs w:val="14"/>
              </w:rPr>
            </w:pPr>
            <w:r w:rsidRPr="00FF4B8A">
              <w:rPr>
                <w:rFonts w:cs="Arial"/>
                <w:sz w:val="14"/>
                <w:szCs w:val="14"/>
              </w:rPr>
              <w:t>of Chemical Engineering</w:t>
            </w:r>
          </w:p>
          <w:p w14:paraId="4D6A7154" w14:textId="77777777" w:rsidR="00F37B45" w:rsidRPr="00FF4B8A" w:rsidRDefault="00F37B45" w:rsidP="00DD4D54">
            <w:pPr>
              <w:spacing w:line="140" w:lineRule="atLeast"/>
              <w:jc w:val="right"/>
              <w:rPr>
                <w:rFonts w:cs="Arial"/>
                <w:sz w:val="13"/>
                <w:szCs w:val="13"/>
              </w:rPr>
            </w:pPr>
            <w:r w:rsidRPr="00FF4B8A">
              <w:rPr>
                <w:rFonts w:cs="Arial"/>
                <w:sz w:val="13"/>
                <w:szCs w:val="13"/>
              </w:rPr>
              <w:t>Online at www.cetjournal.it</w:t>
            </w:r>
          </w:p>
        </w:tc>
      </w:tr>
      <w:tr w:rsidR="00F37B45" w:rsidRPr="00FF4B8A" w14:paraId="3DD95DE1" w14:textId="77777777" w:rsidTr="00DD4D54">
        <w:trPr>
          <w:trHeight w:val="68"/>
          <w:jc w:val="center"/>
        </w:trPr>
        <w:tc>
          <w:tcPr>
            <w:tcW w:w="8789" w:type="dxa"/>
            <w:gridSpan w:val="2"/>
          </w:tcPr>
          <w:p w14:paraId="676238F1" w14:textId="77777777" w:rsidR="00F37B45" w:rsidRPr="00FF4B8A" w:rsidRDefault="00F37B45" w:rsidP="00DD4D54">
            <w:pPr>
              <w:ind w:left="-107"/>
              <w:outlineLvl w:val="2"/>
              <w:rPr>
                <w:rFonts w:cs="Tahoma"/>
                <w:bCs/>
                <w:color w:val="000000"/>
                <w:sz w:val="14"/>
                <w:szCs w:val="14"/>
                <w:lang w:val="it-IT" w:eastAsia="it-IT"/>
              </w:rPr>
            </w:pPr>
            <w:r w:rsidRPr="00FF4B8A">
              <w:rPr>
                <w:rFonts w:cs="Tahoma"/>
                <w:iCs/>
                <w:color w:val="333333"/>
                <w:sz w:val="14"/>
                <w:szCs w:val="14"/>
                <w:lang w:val="it-IT" w:eastAsia="it-IT"/>
              </w:rPr>
              <w:t>Guest Editors:</w:t>
            </w:r>
            <w:r w:rsidRPr="00FF4B8A">
              <w:rPr>
                <w:rFonts w:cs="Tahoma"/>
                <w:color w:val="000000"/>
                <w:sz w:val="14"/>
                <w:szCs w:val="14"/>
                <w:shd w:val="clear" w:color="auto" w:fill="FFFFFF"/>
                <w:lang w:val="it-IT"/>
              </w:rPr>
              <w:t xml:space="preserve"> Leonardo Tognotti, </w:t>
            </w:r>
            <w:r w:rsidRPr="00FF4B8A">
              <w:rPr>
                <w:rFonts w:cs="Tahoma"/>
                <w:color w:val="000000"/>
                <w:sz w:val="14"/>
                <w:szCs w:val="14"/>
                <w:lang w:val="it-IT"/>
              </w:rPr>
              <w:t>Rubens Maciel Filho</w:t>
            </w:r>
            <w:r w:rsidRPr="00FF4B8A">
              <w:rPr>
                <w:rFonts w:cs="Tahoma"/>
                <w:color w:val="000000"/>
                <w:sz w:val="14"/>
                <w:szCs w:val="14"/>
                <w:shd w:val="clear" w:color="auto" w:fill="FFFFFF"/>
                <w:lang w:val="it-IT"/>
              </w:rPr>
              <w:t xml:space="preserve">, </w:t>
            </w:r>
            <w:r w:rsidRPr="00FF4B8A">
              <w:rPr>
                <w:rFonts w:cs="Tahoma"/>
                <w:color w:val="000000"/>
                <w:sz w:val="14"/>
                <w:szCs w:val="14"/>
                <w:lang w:val="it-IT"/>
              </w:rPr>
              <w:t>Viatcheslav Kafarov</w:t>
            </w:r>
          </w:p>
          <w:p w14:paraId="3E2F7647" w14:textId="77777777" w:rsidR="00F37B45" w:rsidRPr="00FF4B8A" w:rsidRDefault="00F37B45" w:rsidP="00DD4D54">
            <w:pPr>
              <w:tabs>
                <w:tab w:val="left" w:pos="-108"/>
              </w:tabs>
              <w:spacing w:line="140" w:lineRule="atLeast"/>
              <w:ind w:left="-107"/>
            </w:pPr>
            <w:r w:rsidRPr="00FF4B8A">
              <w:rPr>
                <w:rFonts w:cs="Tahoma"/>
                <w:iCs/>
                <w:color w:val="333333"/>
                <w:sz w:val="14"/>
                <w:szCs w:val="14"/>
                <w:lang w:eastAsia="it-IT"/>
              </w:rPr>
              <w:t xml:space="preserve">Copyright © 2026, AIDIC Servizi </w:t>
            </w:r>
            <w:proofErr w:type="spellStart"/>
            <w:r w:rsidRPr="00FF4B8A">
              <w:rPr>
                <w:rFonts w:cs="Tahoma"/>
                <w:iCs/>
                <w:color w:val="333333"/>
                <w:sz w:val="14"/>
                <w:szCs w:val="14"/>
                <w:lang w:eastAsia="it-IT"/>
              </w:rPr>
              <w:t>S.r.l</w:t>
            </w:r>
            <w:proofErr w:type="spellEnd"/>
            <w:r w:rsidRPr="00FF4B8A">
              <w:rPr>
                <w:rFonts w:cs="Tahoma"/>
                <w:iCs/>
                <w:color w:val="333333"/>
                <w:sz w:val="14"/>
                <w:szCs w:val="14"/>
                <w:lang w:eastAsia="it-IT"/>
              </w:rPr>
              <w:t>.</w:t>
            </w:r>
            <w:r w:rsidRPr="00FF4B8A">
              <w:rPr>
                <w:rFonts w:cs="Tahoma"/>
                <w:iCs/>
                <w:color w:val="333333"/>
                <w:sz w:val="14"/>
                <w:szCs w:val="14"/>
                <w:lang w:eastAsia="it-IT"/>
              </w:rPr>
              <w:br/>
            </w:r>
            <w:r w:rsidRPr="00FF4B8A">
              <w:rPr>
                <w:rFonts w:cs="Tahoma"/>
                <w:b/>
                <w:iCs/>
                <w:color w:val="000000"/>
                <w:sz w:val="14"/>
                <w:szCs w:val="14"/>
                <w:lang w:eastAsia="it-IT"/>
              </w:rPr>
              <w:t>ISBN</w:t>
            </w:r>
            <w:r w:rsidRPr="00FF4B8A">
              <w:rPr>
                <w:rFonts w:cs="Tahoma"/>
                <w:iCs/>
                <w:color w:val="000000"/>
                <w:sz w:val="14"/>
                <w:szCs w:val="14"/>
                <w:lang w:eastAsia="it-IT"/>
              </w:rPr>
              <w:t xml:space="preserve"> </w:t>
            </w:r>
            <w:r w:rsidRPr="00FF4B8A">
              <w:rPr>
                <w:rFonts w:cs="Tahoma"/>
                <w:sz w:val="14"/>
                <w:szCs w:val="14"/>
              </w:rPr>
              <w:t>979-12-81206-xx-x</w:t>
            </w:r>
            <w:r w:rsidRPr="00FF4B8A">
              <w:rPr>
                <w:rFonts w:cs="Tahoma"/>
                <w:iCs/>
                <w:color w:val="333333"/>
                <w:sz w:val="14"/>
                <w:szCs w:val="14"/>
                <w:lang w:eastAsia="it-IT"/>
              </w:rPr>
              <w:t xml:space="preserve">; </w:t>
            </w:r>
            <w:r w:rsidRPr="00FF4B8A">
              <w:rPr>
                <w:rFonts w:cs="Tahoma"/>
                <w:b/>
                <w:iCs/>
                <w:color w:val="333333"/>
                <w:sz w:val="14"/>
                <w:szCs w:val="14"/>
                <w:lang w:eastAsia="it-IT"/>
              </w:rPr>
              <w:t>ISSN</w:t>
            </w:r>
            <w:r w:rsidRPr="00FF4B8A">
              <w:rPr>
                <w:rFonts w:cs="Tahoma"/>
                <w:iCs/>
                <w:color w:val="333333"/>
                <w:sz w:val="14"/>
                <w:szCs w:val="14"/>
                <w:lang w:eastAsia="it-IT"/>
              </w:rPr>
              <w:t xml:space="preserve"> 2283-9216</w:t>
            </w:r>
          </w:p>
        </w:tc>
      </w:tr>
      <w:bookmarkEnd w:id="0"/>
    </w:tbl>
    <w:p w14:paraId="2E1DF5BD" w14:textId="77777777" w:rsidR="00F37B45" w:rsidRPr="00FF4B8A" w:rsidRDefault="00F37B45" w:rsidP="002761FF">
      <w:pPr>
        <w:widowControl/>
        <w:autoSpaceDE/>
        <w:autoSpaceDN/>
        <w:spacing w:after="160" w:line="259" w:lineRule="auto"/>
        <w:jc w:val="center"/>
        <w:rPr>
          <w:rFonts w:eastAsia="Calibri" w:cs="Arial"/>
          <w:b/>
          <w:i/>
          <w:kern w:val="2"/>
          <w:sz w:val="28"/>
          <w:szCs w:val="28"/>
          <w14:ligatures w14:val="standardContextual"/>
        </w:rPr>
      </w:pPr>
    </w:p>
    <w:p w14:paraId="753C6304" w14:textId="5F3923C4" w:rsidR="002761FF" w:rsidRPr="00FF4B8A" w:rsidRDefault="002761FF" w:rsidP="002761FF">
      <w:pPr>
        <w:widowControl/>
        <w:autoSpaceDE/>
        <w:autoSpaceDN/>
        <w:spacing w:after="160" w:line="259" w:lineRule="auto"/>
        <w:jc w:val="center"/>
        <w:rPr>
          <w:rFonts w:eastAsia="Calibri" w:cs="Arial"/>
          <w:b/>
          <w:i/>
          <w:kern w:val="2"/>
          <w:sz w:val="28"/>
          <w:szCs w:val="28"/>
          <w14:ligatures w14:val="standardContextual"/>
        </w:rPr>
      </w:pPr>
      <w:r w:rsidRPr="00FF4B8A">
        <w:rPr>
          <w:rFonts w:eastAsia="Calibri" w:cs="Arial"/>
          <w:b/>
          <w:i/>
          <w:kern w:val="2"/>
          <w:sz w:val="28"/>
          <w:szCs w:val="28"/>
          <w14:ligatures w14:val="standardContextual"/>
        </w:rPr>
        <w:t xml:space="preserve">INFLUENCE OF ALKALINE CATALYSIS ON THE QUALITY OF BIODIESEL OBTAINED FROM CRUDE PALM OIL (ELAEIS GUINEENSIS) </w:t>
      </w:r>
    </w:p>
    <w:p w14:paraId="6C145F5F" w14:textId="674CFFEF" w:rsidR="009503BB" w:rsidRPr="00FF4B8A" w:rsidRDefault="00DF0282" w:rsidP="002761FF">
      <w:pPr>
        <w:widowControl/>
        <w:autoSpaceDE/>
        <w:autoSpaceDN/>
        <w:spacing w:after="160" w:line="259" w:lineRule="auto"/>
        <w:jc w:val="center"/>
        <w:rPr>
          <w:sz w:val="24"/>
          <w:vertAlign w:val="superscript"/>
          <w:lang w:val="es-PE"/>
        </w:rPr>
      </w:pPr>
      <w:r w:rsidRPr="00FF4B8A">
        <w:rPr>
          <w:rFonts w:eastAsia="Calibri" w:cs="Arial"/>
          <w:b/>
          <w:i/>
          <w:kern w:val="2"/>
          <w:sz w:val="28"/>
          <w:szCs w:val="28"/>
          <w14:ligatures w14:val="standardContextual"/>
        </w:rPr>
        <w:t xml:space="preserve"> </w:t>
      </w:r>
      <w:r w:rsidRPr="00FF4B8A">
        <w:rPr>
          <w:sz w:val="24"/>
          <w:lang w:val="es-PE"/>
        </w:rPr>
        <w:t>Berita Dávila Ruiz</w:t>
      </w:r>
      <w:r w:rsidR="000631FC" w:rsidRPr="00FF4B8A">
        <w:rPr>
          <w:sz w:val="24"/>
          <w:vertAlign w:val="superscript"/>
          <w:lang w:val="es-PE"/>
        </w:rPr>
        <w:t xml:space="preserve"> a</w:t>
      </w:r>
      <w:r w:rsidRPr="00FF4B8A">
        <w:rPr>
          <w:sz w:val="24"/>
          <w:lang w:val="es-PE"/>
        </w:rPr>
        <w:t>, Christiaan E. Moreno</w:t>
      </w:r>
      <w:r w:rsidR="000631FC" w:rsidRPr="00FF4B8A">
        <w:rPr>
          <w:sz w:val="24"/>
          <w:lang w:val="es-PE"/>
        </w:rPr>
        <w:t xml:space="preserve"> </w:t>
      </w:r>
      <w:r w:rsidR="000631FC" w:rsidRPr="00FF4B8A">
        <w:rPr>
          <w:sz w:val="24"/>
          <w:vertAlign w:val="superscript"/>
          <w:lang w:val="es-PE"/>
        </w:rPr>
        <w:t>b</w:t>
      </w:r>
      <w:r w:rsidRPr="00FF4B8A">
        <w:rPr>
          <w:sz w:val="24"/>
          <w:lang w:val="es-PE"/>
        </w:rPr>
        <w:t>,  Fiorella V. Güere Salazar</w:t>
      </w:r>
      <w:r w:rsidR="000631FC" w:rsidRPr="00FF4B8A">
        <w:rPr>
          <w:sz w:val="24"/>
          <w:vertAlign w:val="superscript"/>
          <w:lang w:val="es-PE"/>
        </w:rPr>
        <w:t xml:space="preserve"> </w:t>
      </w:r>
      <w:r w:rsidR="00817FC4" w:rsidRPr="00FF4B8A">
        <w:rPr>
          <w:sz w:val="24"/>
          <w:vertAlign w:val="superscript"/>
          <w:lang w:val="es-PE"/>
        </w:rPr>
        <w:t>c</w:t>
      </w:r>
      <w:r w:rsidRPr="00FF4B8A">
        <w:rPr>
          <w:sz w:val="24"/>
          <w:lang w:val="es-PE"/>
        </w:rPr>
        <w:t>, Zanhy Leonor Valencia Reyes</w:t>
      </w:r>
      <w:r w:rsidR="000631FC" w:rsidRPr="00FF4B8A">
        <w:rPr>
          <w:sz w:val="24"/>
          <w:vertAlign w:val="superscript"/>
          <w:lang w:val="es-PE"/>
        </w:rPr>
        <w:t xml:space="preserve"> </w:t>
      </w:r>
      <w:r w:rsidR="00817FC4" w:rsidRPr="00FF4B8A">
        <w:rPr>
          <w:sz w:val="24"/>
          <w:vertAlign w:val="superscript"/>
          <w:lang w:val="es-PE"/>
        </w:rPr>
        <w:t>c</w:t>
      </w:r>
      <w:r w:rsidR="000631FC" w:rsidRPr="00FF4B8A">
        <w:rPr>
          <w:sz w:val="24"/>
          <w:lang w:val="es-PE"/>
        </w:rPr>
        <w:t>,</w:t>
      </w:r>
      <w:r w:rsidR="00E0282C" w:rsidRPr="00FF4B8A">
        <w:rPr>
          <w:sz w:val="24"/>
          <w:lang w:val="es-PE"/>
        </w:rPr>
        <w:t xml:space="preserve"> </w:t>
      </w:r>
      <w:r w:rsidRPr="00FF4B8A">
        <w:rPr>
          <w:spacing w:val="1"/>
          <w:sz w:val="24"/>
          <w:lang w:val="es-PE"/>
        </w:rPr>
        <w:t>Vanessa Johana Caldas Garnique</w:t>
      </w:r>
      <w:r w:rsidR="000631FC" w:rsidRPr="00FF4B8A">
        <w:rPr>
          <w:spacing w:val="1"/>
          <w:sz w:val="24"/>
          <w:lang w:val="es-PE"/>
        </w:rPr>
        <w:t xml:space="preserve"> </w:t>
      </w:r>
      <w:r w:rsidR="00817FC4" w:rsidRPr="00FF4B8A">
        <w:rPr>
          <w:sz w:val="24"/>
          <w:vertAlign w:val="superscript"/>
          <w:lang w:val="es-PE"/>
        </w:rPr>
        <w:t>d</w:t>
      </w:r>
      <w:r w:rsidR="000631FC" w:rsidRPr="00FF4B8A">
        <w:rPr>
          <w:sz w:val="24"/>
          <w:lang w:val="es-PE"/>
        </w:rPr>
        <w:t xml:space="preserve">, </w:t>
      </w:r>
      <w:r w:rsidRPr="00FF4B8A">
        <w:rPr>
          <w:sz w:val="24"/>
          <w:lang w:val="es-PE"/>
        </w:rPr>
        <w:t>William</w:t>
      </w:r>
      <w:r w:rsidRPr="00FF4B8A">
        <w:rPr>
          <w:spacing w:val="7"/>
          <w:sz w:val="24"/>
          <w:lang w:val="es-PE"/>
        </w:rPr>
        <w:t xml:space="preserve"> </w:t>
      </w:r>
      <w:r w:rsidRPr="00FF4B8A">
        <w:rPr>
          <w:sz w:val="24"/>
          <w:lang w:val="es-PE"/>
        </w:rPr>
        <w:t>C.</w:t>
      </w:r>
      <w:r w:rsidRPr="00FF4B8A">
        <w:rPr>
          <w:spacing w:val="5"/>
          <w:sz w:val="24"/>
          <w:lang w:val="es-PE"/>
        </w:rPr>
        <w:t xml:space="preserve"> </w:t>
      </w:r>
      <w:r w:rsidRPr="00FF4B8A">
        <w:rPr>
          <w:sz w:val="24"/>
          <w:lang w:val="es-PE"/>
        </w:rPr>
        <w:t>Santos Tello</w:t>
      </w:r>
      <w:r w:rsidRPr="00FF4B8A">
        <w:rPr>
          <w:spacing w:val="9"/>
          <w:sz w:val="24"/>
          <w:lang w:val="es-PE"/>
        </w:rPr>
        <w:t xml:space="preserve"> </w:t>
      </w:r>
      <w:r w:rsidR="00817FC4" w:rsidRPr="00FF4B8A">
        <w:rPr>
          <w:sz w:val="24"/>
          <w:vertAlign w:val="superscript"/>
          <w:lang w:val="es-PE"/>
        </w:rPr>
        <w:t>e</w:t>
      </w:r>
      <w:r w:rsidR="00524069" w:rsidRPr="00FF4B8A">
        <w:rPr>
          <w:sz w:val="24"/>
          <w:lang w:val="es-PE"/>
        </w:rPr>
        <w:t>*</w:t>
      </w:r>
      <w:r w:rsidRPr="00FF4B8A">
        <w:rPr>
          <w:spacing w:val="-2"/>
          <w:sz w:val="24"/>
          <w:lang w:val="es-PE"/>
        </w:rPr>
        <w:t xml:space="preserve"> </w:t>
      </w:r>
      <w:r w:rsidRPr="00FF4B8A">
        <w:rPr>
          <w:sz w:val="24"/>
          <w:lang w:val="es-PE"/>
        </w:rPr>
        <w:t>,</w:t>
      </w:r>
      <w:r w:rsidRPr="00FF4B8A">
        <w:rPr>
          <w:spacing w:val="-14"/>
          <w:sz w:val="24"/>
          <w:lang w:val="es-PE"/>
        </w:rPr>
        <w:t xml:space="preserve"> </w:t>
      </w:r>
      <w:r w:rsidRPr="00FF4B8A">
        <w:rPr>
          <w:sz w:val="24"/>
          <w:lang w:val="es-PE"/>
        </w:rPr>
        <w:t>M</w:t>
      </w:r>
      <w:r w:rsidR="002761FF" w:rsidRPr="00FF4B8A">
        <w:rPr>
          <w:sz w:val="24"/>
          <w:lang w:val="es-PE"/>
        </w:rPr>
        <w:t>a</w:t>
      </w:r>
      <w:r w:rsidRPr="00FF4B8A">
        <w:rPr>
          <w:sz w:val="24"/>
          <w:lang w:val="es-PE"/>
        </w:rPr>
        <w:t>ximo Cisneros Tejeira</w:t>
      </w:r>
      <w:r w:rsidR="000631FC" w:rsidRPr="00FF4B8A">
        <w:rPr>
          <w:sz w:val="24"/>
          <w:vertAlign w:val="superscript"/>
          <w:lang w:val="es-PE"/>
        </w:rPr>
        <w:t xml:space="preserve"> </w:t>
      </w:r>
      <w:r w:rsidR="00817FC4" w:rsidRPr="00FF4B8A">
        <w:rPr>
          <w:sz w:val="24"/>
          <w:vertAlign w:val="superscript"/>
          <w:lang w:val="es-PE"/>
        </w:rPr>
        <w:t>f</w:t>
      </w:r>
      <w:r w:rsidRPr="00FF4B8A">
        <w:rPr>
          <w:sz w:val="24"/>
          <w:lang w:val="es-PE"/>
        </w:rPr>
        <w:t xml:space="preserve"> ,</w:t>
      </w:r>
      <w:r w:rsidRPr="00FF4B8A">
        <w:rPr>
          <w:spacing w:val="1"/>
          <w:sz w:val="24"/>
          <w:lang w:val="es-PE"/>
        </w:rPr>
        <w:t xml:space="preserve"> Jhonn Robert Ruiz De la Cruz</w:t>
      </w:r>
      <w:r w:rsidR="000631FC" w:rsidRPr="00FF4B8A">
        <w:rPr>
          <w:sz w:val="24"/>
          <w:vertAlign w:val="superscript"/>
          <w:lang w:val="es-PE"/>
        </w:rPr>
        <w:t xml:space="preserve"> a</w:t>
      </w:r>
      <w:r w:rsidRPr="00FF4B8A">
        <w:rPr>
          <w:spacing w:val="1"/>
          <w:sz w:val="24"/>
          <w:lang w:val="es-PE"/>
        </w:rPr>
        <w:t>, Kathy Flores Cabrera De Ruiz</w:t>
      </w:r>
      <w:r w:rsidR="000631FC" w:rsidRPr="00FF4B8A">
        <w:rPr>
          <w:sz w:val="24"/>
          <w:vertAlign w:val="superscript"/>
          <w:lang w:val="es-PE"/>
        </w:rPr>
        <w:t xml:space="preserve"> a</w:t>
      </w:r>
      <w:r w:rsidRPr="00FF4B8A">
        <w:rPr>
          <w:spacing w:val="1"/>
          <w:sz w:val="24"/>
          <w:lang w:val="es-PE"/>
        </w:rPr>
        <w:t>, Florentino Sánchez Aguilar</w:t>
      </w:r>
      <w:r w:rsidR="000631FC" w:rsidRPr="00FF4B8A">
        <w:rPr>
          <w:sz w:val="24"/>
          <w:vertAlign w:val="superscript"/>
          <w:lang w:val="es-PE"/>
        </w:rPr>
        <w:t xml:space="preserve"> </w:t>
      </w:r>
      <w:r w:rsidR="00817FC4" w:rsidRPr="00FF4B8A">
        <w:rPr>
          <w:sz w:val="24"/>
          <w:vertAlign w:val="superscript"/>
          <w:lang w:val="es-PE"/>
        </w:rPr>
        <w:t>f</w:t>
      </w:r>
    </w:p>
    <w:p w14:paraId="4230838A" w14:textId="06708D33" w:rsidR="00817FC4" w:rsidRPr="00FF4B8A" w:rsidRDefault="008620EE" w:rsidP="009503BB">
      <w:pPr>
        <w:ind w:left="145"/>
        <w:rPr>
          <w:sz w:val="16"/>
          <w:lang w:val="es-PE"/>
        </w:rPr>
      </w:pPr>
      <w:r w:rsidRPr="00FF4B8A">
        <w:rPr>
          <w:sz w:val="16"/>
          <w:vertAlign w:val="superscript"/>
          <w:lang w:val="es-PE"/>
        </w:rPr>
        <w:t xml:space="preserve"> a</w:t>
      </w:r>
      <w:r w:rsidRPr="00FF4B8A">
        <w:rPr>
          <w:spacing w:val="-15"/>
          <w:sz w:val="16"/>
          <w:lang w:val="es-PE"/>
        </w:rPr>
        <w:t xml:space="preserve"> </w:t>
      </w:r>
      <w:r w:rsidR="000631FC" w:rsidRPr="00FF4B8A">
        <w:rPr>
          <w:spacing w:val="-15"/>
          <w:sz w:val="16"/>
          <w:lang w:val="es-PE"/>
        </w:rPr>
        <w:t xml:space="preserve"> </w:t>
      </w:r>
      <w:r w:rsidR="000631FC" w:rsidRPr="00FF4B8A">
        <w:rPr>
          <w:sz w:val="16"/>
          <w:lang w:val="es-PE"/>
        </w:rPr>
        <w:t>Universidad Nacional</w:t>
      </w:r>
      <w:r w:rsidR="000631FC" w:rsidRPr="00FF4B8A">
        <w:rPr>
          <w:spacing w:val="40"/>
          <w:sz w:val="16"/>
          <w:lang w:val="es-PE"/>
        </w:rPr>
        <w:t xml:space="preserve"> </w:t>
      </w:r>
      <w:r w:rsidR="000631FC" w:rsidRPr="00FF4B8A">
        <w:rPr>
          <w:sz w:val="16"/>
          <w:lang w:val="es-PE"/>
        </w:rPr>
        <w:t>de Ucayali, Carretera Federico Basadre Km 6.2, Pucallpa , Perú</w:t>
      </w:r>
    </w:p>
    <w:p w14:paraId="2ADA9561" w14:textId="35C28591" w:rsidR="00530E4D" w:rsidRPr="00FF4B8A" w:rsidRDefault="00817FC4" w:rsidP="00817FC4">
      <w:pPr>
        <w:spacing w:before="17"/>
        <w:ind w:right="1431"/>
        <w:rPr>
          <w:sz w:val="16"/>
          <w:lang w:val="es-PE"/>
        </w:rPr>
      </w:pPr>
      <w:r w:rsidRPr="00FF4B8A">
        <w:rPr>
          <w:sz w:val="16"/>
          <w:lang w:val="es-PE"/>
        </w:rPr>
        <w:t xml:space="preserve">    </w:t>
      </w:r>
      <w:r w:rsidRPr="00FF4B8A">
        <w:rPr>
          <w:sz w:val="16"/>
          <w:vertAlign w:val="superscript"/>
          <w:lang w:val="es-PE"/>
        </w:rPr>
        <w:t xml:space="preserve">b </w:t>
      </w:r>
      <w:r w:rsidRPr="00FF4B8A">
        <w:rPr>
          <w:sz w:val="16"/>
          <w:lang w:val="es-PE"/>
        </w:rPr>
        <w:t>Universidad Tecnológica del Perú , Calle. Natalio Sánchez N° 125, Lima , Perú</w:t>
      </w:r>
    </w:p>
    <w:p w14:paraId="472EE7AF" w14:textId="32B98BD0" w:rsidR="000631FC" w:rsidRPr="00FF4B8A" w:rsidRDefault="00817FC4" w:rsidP="009503BB">
      <w:pPr>
        <w:ind w:left="145"/>
        <w:rPr>
          <w:spacing w:val="-4"/>
          <w:sz w:val="16"/>
          <w:lang w:val="es-PE"/>
        </w:rPr>
      </w:pPr>
      <w:r w:rsidRPr="00FF4B8A">
        <w:rPr>
          <w:sz w:val="16"/>
          <w:vertAlign w:val="superscript"/>
          <w:lang w:val="es-PE"/>
        </w:rPr>
        <w:t xml:space="preserve"> c</w:t>
      </w:r>
      <w:r w:rsidRPr="00FF4B8A">
        <w:rPr>
          <w:spacing w:val="-10"/>
          <w:sz w:val="16"/>
          <w:lang w:val="es-PE"/>
        </w:rPr>
        <w:t xml:space="preserve"> </w:t>
      </w:r>
      <w:r w:rsidR="000631FC" w:rsidRPr="00FF4B8A">
        <w:rPr>
          <w:sz w:val="16"/>
          <w:lang w:val="es-PE"/>
        </w:rPr>
        <w:t>Universidad</w:t>
      </w:r>
      <w:r w:rsidR="000631FC" w:rsidRPr="00FF4B8A">
        <w:rPr>
          <w:spacing w:val="-8"/>
          <w:sz w:val="16"/>
          <w:lang w:val="es-PE"/>
        </w:rPr>
        <w:t xml:space="preserve"> </w:t>
      </w:r>
      <w:r w:rsidR="000631FC" w:rsidRPr="00FF4B8A">
        <w:rPr>
          <w:sz w:val="16"/>
          <w:lang w:val="es-PE"/>
        </w:rPr>
        <w:t>Nacional</w:t>
      </w:r>
      <w:r w:rsidR="000631FC" w:rsidRPr="00FF4B8A">
        <w:rPr>
          <w:spacing w:val="-4"/>
          <w:sz w:val="16"/>
          <w:lang w:val="es-PE"/>
        </w:rPr>
        <w:t xml:space="preserve"> </w:t>
      </w:r>
      <w:r w:rsidR="000631FC" w:rsidRPr="00FF4B8A">
        <w:rPr>
          <w:sz w:val="16"/>
          <w:lang w:val="es-PE"/>
        </w:rPr>
        <w:t>Mayor</w:t>
      </w:r>
      <w:r w:rsidR="000631FC" w:rsidRPr="00FF4B8A">
        <w:rPr>
          <w:spacing w:val="-3"/>
          <w:sz w:val="16"/>
          <w:lang w:val="es-PE"/>
        </w:rPr>
        <w:t xml:space="preserve"> </w:t>
      </w:r>
      <w:r w:rsidR="000631FC" w:rsidRPr="00FF4B8A">
        <w:rPr>
          <w:sz w:val="16"/>
          <w:lang w:val="es-PE"/>
        </w:rPr>
        <w:t>de</w:t>
      </w:r>
      <w:r w:rsidR="000631FC" w:rsidRPr="00FF4B8A">
        <w:rPr>
          <w:spacing w:val="-4"/>
          <w:sz w:val="16"/>
          <w:lang w:val="es-PE"/>
        </w:rPr>
        <w:t xml:space="preserve"> </w:t>
      </w:r>
      <w:r w:rsidR="000631FC" w:rsidRPr="00FF4B8A">
        <w:rPr>
          <w:sz w:val="16"/>
          <w:lang w:val="es-PE"/>
        </w:rPr>
        <w:t>San</w:t>
      </w:r>
      <w:r w:rsidR="000631FC" w:rsidRPr="00FF4B8A">
        <w:rPr>
          <w:spacing w:val="-7"/>
          <w:sz w:val="16"/>
          <w:lang w:val="es-PE"/>
        </w:rPr>
        <w:t xml:space="preserve"> </w:t>
      </w:r>
      <w:r w:rsidR="000631FC" w:rsidRPr="00FF4B8A">
        <w:rPr>
          <w:sz w:val="16"/>
          <w:lang w:val="es-PE"/>
        </w:rPr>
        <w:t>Marcos,</w:t>
      </w:r>
      <w:r w:rsidR="000631FC" w:rsidRPr="00FF4B8A">
        <w:rPr>
          <w:spacing w:val="-7"/>
          <w:sz w:val="16"/>
          <w:lang w:val="es-PE"/>
        </w:rPr>
        <w:t xml:space="preserve"> </w:t>
      </w:r>
      <w:r w:rsidR="000631FC" w:rsidRPr="00FF4B8A">
        <w:rPr>
          <w:sz w:val="16"/>
          <w:lang w:val="es-PE"/>
        </w:rPr>
        <w:t>Ciudad</w:t>
      </w:r>
      <w:r w:rsidR="000631FC" w:rsidRPr="00FF4B8A">
        <w:rPr>
          <w:spacing w:val="-8"/>
          <w:sz w:val="16"/>
          <w:lang w:val="es-PE"/>
        </w:rPr>
        <w:t xml:space="preserve"> </w:t>
      </w:r>
      <w:r w:rsidR="000631FC" w:rsidRPr="00FF4B8A">
        <w:rPr>
          <w:sz w:val="16"/>
          <w:lang w:val="es-PE"/>
        </w:rPr>
        <w:t>Universitaria,</w:t>
      </w:r>
      <w:r w:rsidR="000631FC" w:rsidRPr="00FF4B8A">
        <w:rPr>
          <w:spacing w:val="-3"/>
          <w:sz w:val="16"/>
          <w:lang w:val="es-PE"/>
        </w:rPr>
        <w:t xml:space="preserve"> </w:t>
      </w:r>
      <w:r w:rsidR="000631FC" w:rsidRPr="00FF4B8A">
        <w:rPr>
          <w:sz w:val="16"/>
          <w:lang w:val="es-PE"/>
        </w:rPr>
        <w:t>Lima</w:t>
      </w:r>
      <w:r w:rsidR="000631FC" w:rsidRPr="00FF4B8A">
        <w:rPr>
          <w:spacing w:val="-8"/>
          <w:sz w:val="16"/>
          <w:lang w:val="es-PE"/>
        </w:rPr>
        <w:t xml:space="preserve"> </w:t>
      </w:r>
      <w:r w:rsidR="000631FC" w:rsidRPr="00FF4B8A">
        <w:rPr>
          <w:sz w:val="16"/>
          <w:lang w:val="es-PE"/>
        </w:rPr>
        <w:t>15081,</w:t>
      </w:r>
      <w:r w:rsidR="000631FC" w:rsidRPr="00FF4B8A">
        <w:rPr>
          <w:spacing w:val="-7"/>
          <w:sz w:val="16"/>
          <w:lang w:val="es-PE"/>
        </w:rPr>
        <w:t xml:space="preserve"> </w:t>
      </w:r>
      <w:r w:rsidR="000631FC" w:rsidRPr="00FF4B8A">
        <w:rPr>
          <w:spacing w:val="-4"/>
          <w:sz w:val="16"/>
          <w:lang w:val="es-PE"/>
        </w:rPr>
        <w:t>Perú</w:t>
      </w:r>
    </w:p>
    <w:p w14:paraId="46B76F1D" w14:textId="788F3F33" w:rsidR="000631FC" w:rsidRPr="00FF4B8A" w:rsidRDefault="00817FC4" w:rsidP="009503BB">
      <w:pPr>
        <w:ind w:left="145"/>
        <w:rPr>
          <w:sz w:val="16"/>
          <w:lang w:val="es-PE"/>
        </w:rPr>
      </w:pPr>
      <w:r w:rsidRPr="00FF4B8A">
        <w:rPr>
          <w:sz w:val="16"/>
          <w:vertAlign w:val="superscript"/>
          <w:lang w:val="es-PE"/>
        </w:rPr>
        <w:t>d</w:t>
      </w:r>
      <w:r w:rsidR="000631FC" w:rsidRPr="00FF4B8A">
        <w:rPr>
          <w:sz w:val="16"/>
          <w:vertAlign w:val="superscript"/>
          <w:lang w:val="es-PE"/>
        </w:rPr>
        <w:t xml:space="preserve"> </w:t>
      </w:r>
      <w:r w:rsidR="00D53CBE" w:rsidRPr="00D53CBE">
        <w:rPr>
          <w:sz w:val="16"/>
          <w:lang w:val="es-PE"/>
        </w:rPr>
        <w:t>Asesoría</w:t>
      </w:r>
      <w:r w:rsidR="00D53CBE" w:rsidRPr="00D53CBE">
        <w:rPr>
          <w:sz w:val="16"/>
          <w:lang w:val="es-PE"/>
        </w:rPr>
        <w:t xml:space="preserve"> y </w:t>
      </w:r>
      <w:r w:rsidR="00D53CBE" w:rsidRPr="00D53CBE">
        <w:rPr>
          <w:sz w:val="16"/>
          <w:lang w:val="es-PE"/>
        </w:rPr>
        <w:t>Consultoría</w:t>
      </w:r>
      <w:r w:rsidR="00D53CBE" w:rsidRPr="00D53CBE">
        <w:rPr>
          <w:sz w:val="16"/>
          <w:lang w:val="es-PE"/>
        </w:rPr>
        <w:t xml:space="preserve"> de Proyectos Ambientales S.A.C , Martinete Mz K Lote 8. </w:t>
      </w:r>
      <w:r w:rsidR="00D53CBE">
        <w:rPr>
          <w:sz w:val="16"/>
        </w:rPr>
        <w:t>Lima,</w:t>
      </w:r>
      <w:r w:rsidR="00D53CBE" w:rsidRPr="000631FC">
        <w:rPr>
          <w:sz w:val="16"/>
        </w:rPr>
        <w:t xml:space="preserve"> Perú</w:t>
      </w:r>
    </w:p>
    <w:p w14:paraId="1EA178D7" w14:textId="1135EF03" w:rsidR="00530E4D" w:rsidRPr="00FF4B8A" w:rsidRDefault="00817FC4" w:rsidP="009503BB">
      <w:pPr>
        <w:spacing w:before="17"/>
        <w:ind w:left="145" w:right="1835"/>
        <w:rPr>
          <w:sz w:val="16"/>
          <w:lang w:val="es-PE"/>
        </w:rPr>
      </w:pPr>
      <w:proofErr w:type="spellStart"/>
      <w:r w:rsidRPr="00FF4B8A">
        <w:rPr>
          <w:sz w:val="16"/>
          <w:vertAlign w:val="superscript"/>
          <w:lang w:val="es-PE"/>
        </w:rPr>
        <w:t>e</w:t>
      </w:r>
      <w:proofErr w:type="spellEnd"/>
      <w:r w:rsidRPr="00FF4B8A">
        <w:rPr>
          <w:sz w:val="16"/>
          <w:vertAlign w:val="superscript"/>
          <w:lang w:val="es-PE"/>
        </w:rPr>
        <w:t xml:space="preserve"> </w:t>
      </w:r>
      <w:r w:rsidR="000631FC" w:rsidRPr="00FF4B8A">
        <w:rPr>
          <w:sz w:val="16"/>
          <w:lang w:val="es-PE"/>
        </w:rPr>
        <w:t>Universidad Continental, Av. Alfredo Mendiola 5210, Los Olivos 15306, Perú</w:t>
      </w:r>
    </w:p>
    <w:p w14:paraId="2A0135D7" w14:textId="3F8E0C08" w:rsidR="00817FC4" w:rsidRPr="00FF4B8A" w:rsidRDefault="009503BB" w:rsidP="00425EE5">
      <w:pPr>
        <w:spacing w:before="17"/>
        <w:ind w:right="1146"/>
        <w:rPr>
          <w:spacing w:val="-4"/>
          <w:sz w:val="16"/>
          <w:lang w:val="es-PE"/>
        </w:rPr>
      </w:pPr>
      <w:r w:rsidRPr="00FF4B8A">
        <w:rPr>
          <w:sz w:val="16"/>
          <w:lang w:val="es-PE"/>
        </w:rPr>
        <w:t xml:space="preserve">   </w:t>
      </w:r>
      <w:r w:rsidR="00817FC4" w:rsidRPr="00FF4B8A">
        <w:rPr>
          <w:sz w:val="16"/>
          <w:vertAlign w:val="superscript"/>
          <w:lang w:val="es-PE"/>
        </w:rPr>
        <w:t>f</w:t>
      </w:r>
      <w:r w:rsidRPr="00FF4B8A">
        <w:rPr>
          <w:sz w:val="16"/>
          <w:vertAlign w:val="superscript"/>
          <w:lang w:val="es-PE"/>
        </w:rPr>
        <w:t xml:space="preserve"> </w:t>
      </w:r>
      <w:r w:rsidRPr="00FF4B8A">
        <w:rPr>
          <w:sz w:val="16"/>
          <w:lang w:val="es-PE"/>
        </w:rPr>
        <w:t xml:space="preserve">Universidad Nacional José Faustino Sánchez Carrión ,Av. Mercedes Indacochea N°609 , </w:t>
      </w:r>
      <w:r w:rsidR="00524069" w:rsidRPr="00FF4B8A">
        <w:rPr>
          <w:sz w:val="16"/>
          <w:lang w:val="es-PE"/>
        </w:rPr>
        <w:t>Huacho,</w:t>
      </w:r>
      <w:r w:rsidR="00524069" w:rsidRPr="00FF4B8A">
        <w:rPr>
          <w:spacing w:val="-4"/>
          <w:sz w:val="16"/>
          <w:lang w:val="es-PE"/>
        </w:rPr>
        <w:t xml:space="preserve"> Perú</w:t>
      </w:r>
    </w:p>
    <w:p w14:paraId="2896FDD4" w14:textId="5F360905" w:rsidR="00530E4D" w:rsidRDefault="00234192" w:rsidP="00D53CBE">
      <w:pPr>
        <w:spacing w:before="23"/>
        <w:ind w:left="145"/>
      </w:pPr>
      <w:r w:rsidRPr="00FF4B8A">
        <w:rPr>
          <w:spacing w:val="-2"/>
          <w:sz w:val="16"/>
          <w:lang w:val="es-PE"/>
        </w:rPr>
        <w:t>*corresponding:</w:t>
      </w:r>
      <w:r w:rsidRPr="00FF4B8A">
        <w:rPr>
          <w:spacing w:val="18"/>
          <w:sz w:val="16"/>
          <w:lang w:val="es-PE"/>
        </w:rPr>
        <w:t xml:space="preserve"> </w:t>
      </w:r>
      <w:r w:rsidR="00D53CBE" w:rsidRPr="00F71C41">
        <w:rPr>
          <w:sz w:val="16"/>
          <w:szCs w:val="16"/>
        </w:rPr>
        <w:t>wsantos@continental.edu.pe</w:t>
      </w:r>
      <w:r w:rsidR="00D53CBE">
        <w:t xml:space="preserve"> </w:t>
      </w:r>
      <w:hyperlink r:id="rId7"/>
    </w:p>
    <w:p w14:paraId="55FD69BB" w14:textId="77777777" w:rsidR="00D53CBE" w:rsidRPr="00FF4B8A" w:rsidRDefault="00D53CBE" w:rsidP="00D53CBE">
      <w:pPr>
        <w:spacing w:before="23"/>
        <w:ind w:left="145"/>
        <w:rPr>
          <w:sz w:val="16"/>
          <w:lang w:val="es-PE"/>
        </w:rPr>
      </w:pPr>
    </w:p>
    <w:p w14:paraId="03E90340" w14:textId="6803C332" w:rsidR="00E0282C" w:rsidRPr="00CD7577" w:rsidRDefault="00E0282C" w:rsidP="00E0282C">
      <w:pPr>
        <w:pStyle w:val="Textoindependiente"/>
        <w:spacing w:before="13"/>
        <w:jc w:val="both"/>
        <w:rPr>
          <w:sz w:val="18"/>
          <w:szCs w:val="18"/>
        </w:rPr>
      </w:pPr>
      <w:r w:rsidRPr="00CD7577">
        <w:rPr>
          <w:sz w:val="18"/>
          <w:szCs w:val="18"/>
        </w:rPr>
        <w:t xml:space="preserve">The research titled </w:t>
      </w:r>
      <w:r w:rsidRPr="00CD7577">
        <w:rPr>
          <w:i/>
          <w:iCs/>
          <w:sz w:val="18"/>
          <w:szCs w:val="18"/>
        </w:rPr>
        <w:t>“Influence of alkaline catalysis on the quality of biodiesel obtained from crude palm oil (Elaeis guineensis) in Ucayali”</w:t>
      </w:r>
      <w:r w:rsidRPr="00CD7577">
        <w:rPr>
          <w:sz w:val="18"/>
          <w:szCs w:val="18"/>
        </w:rPr>
        <w:t xml:space="preserve"> evaluated the effect of methanol-to-oil molar ratio and catalyst concentration on biodiesel yield and quality. The most favorable condition was found at a molar ratio of 11:1 with 0.7% NaOH, achieving a yield of 94.7%. The resulting biodiesel exhibited suitable properties, including a density of 873.9 kg/m³, kinematic viscosity of 3.88 mm²/s, acid value of 0.29 mg KOH/g, and iodine value of 53.4 g I</w:t>
      </w:r>
      <w:r w:rsidRPr="00CD7577">
        <w:rPr>
          <w:rFonts w:ascii="Cambria Math" w:hAnsi="Cambria Math" w:cs="Cambria Math"/>
          <w:sz w:val="18"/>
          <w:szCs w:val="18"/>
        </w:rPr>
        <w:t>₂</w:t>
      </w:r>
      <w:r w:rsidRPr="00CD7577">
        <w:rPr>
          <w:sz w:val="18"/>
          <w:szCs w:val="18"/>
        </w:rPr>
        <w:t>/100 g. Complementary analyses indicated a higher heating value of 38.9 MJ/kg, oxidative stability of 7.2 h, and flash point of 162 °C, confirming its energetic efficiency and safe handling. Thermal characterization revealed a cloud point of 13 °C and a pour point of 11 °C, which are adequate for tropical climates. Statistical analysis showed an inverse correlation between yield and viscosity (r = –0.68) with a coefficient of determination R² = 0.79, highlighting the significant influence of process parameters on biodiesel quality. These results demonstrate the potential of crude palm oil from Ucayali as a sustainable raw material for high-quality biodiesel production, contributing to the advancement of bioenergy in tropical regions.</w:t>
      </w:r>
    </w:p>
    <w:p w14:paraId="038E1BE4" w14:textId="77777777" w:rsidR="00425EE5" w:rsidRPr="00FF4B8A" w:rsidRDefault="00425EE5" w:rsidP="00E0282C">
      <w:pPr>
        <w:rPr>
          <w:i/>
          <w:iCs/>
          <w:szCs w:val="24"/>
        </w:rPr>
      </w:pPr>
    </w:p>
    <w:p w14:paraId="34EF709B" w14:textId="6C1AD88C" w:rsidR="00993848" w:rsidRPr="00CD7577" w:rsidRDefault="00993848" w:rsidP="00993848">
      <w:pPr>
        <w:pStyle w:val="Textoindependiente"/>
        <w:numPr>
          <w:ilvl w:val="0"/>
          <w:numId w:val="1"/>
        </w:numPr>
        <w:spacing w:before="13"/>
        <w:jc w:val="both"/>
        <w:rPr>
          <w:b/>
          <w:bCs/>
        </w:rPr>
      </w:pPr>
      <w:r w:rsidRPr="00CD7577">
        <w:rPr>
          <w:b/>
          <w:bCs/>
        </w:rPr>
        <w:t>I</w:t>
      </w:r>
      <w:r w:rsidRPr="00CD7577">
        <w:rPr>
          <w:b/>
          <w:bCs/>
        </w:rPr>
        <w:t>ntroduction</w:t>
      </w:r>
    </w:p>
    <w:p w14:paraId="1CB9A869" w14:textId="41B76D78" w:rsidR="00993848" w:rsidRPr="00993848" w:rsidRDefault="00993848" w:rsidP="00993848">
      <w:pPr>
        <w:pStyle w:val="Textoindependiente"/>
        <w:spacing w:before="13"/>
        <w:jc w:val="both"/>
        <w:rPr>
          <w:sz w:val="18"/>
          <w:szCs w:val="18"/>
        </w:rPr>
      </w:pPr>
      <w:r w:rsidRPr="00993848">
        <w:rPr>
          <w:sz w:val="18"/>
          <w:szCs w:val="18"/>
        </w:rPr>
        <w:t>The transition toward more sustainable energy systems has gained increasing relevance due to the rise in global energy consumption and the environmental impacts associated with the intensive use of fossil fuels. In this context, biodiesel emerges as a technically viable option, not only because of its renewable and biodegradable nature, but also due to its ability to be used in conventional diesel engines without requiring significant structural modifications. Additionally, its use has been reported to contribute to the reduction of pollutant emissions, such as carbon monoxide and particulate matter, reinforcing its potential as a lower environmental impact energy alternative.</w:t>
      </w:r>
    </w:p>
    <w:p w14:paraId="197E870F" w14:textId="77777777" w:rsidR="00993848" w:rsidRPr="00993848" w:rsidRDefault="00993848" w:rsidP="00524069">
      <w:pPr>
        <w:pStyle w:val="Textoindependiente"/>
        <w:spacing w:before="13"/>
        <w:jc w:val="both"/>
        <w:rPr>
          <w:sz w:val="18"/>
          <w:szCs w:val="18"/>
        </w:rPr>
      </w:pPr>
      <w:r w:rsidRPr="00993848">
        <w:rPr>
          <w:sz w:val="18"/>
          <w:szCs w:val="18"/>
        </w:rPr>
        <w:t>The quality and yield of biodiesel largely depend on the raw material used and the transesterification process conditions. Among lipid feedstocks, palm oil (</w:t>
      </w:r>
      <w:r w:rsidRPr="00993848">
        <w:rPr>
          <w:i/>
          <w:iCs/>
          <w:sz w:val="18"/>
          <w:szCs w:val="18"/>
        </w:rPr>
        <w:t>Elaeis guineensis</w:t>
      </w:r>
      <w:r w:rsidRPr="00993848">
        <w:rPr>
          <w:sz w:val="18"/>
          <w:szCs w:val="18"/>
        </w:rPr>
        <w:t>) has gained importance due to its high agricultural yield and stable supply in tropical regions. These characteristics, along with a suitable fatty acid composition, favor its use in industrial biofuel production. However, crude palm oil presents technical challenges due to its content of free fatty acids, moisture, and impurities, which may negatively affect process efficiency and final biodiesel properties.</w:t>
      </w:r>
    </w:p>
    <w:p w14:paraId="261005CB" w14:textId="77777777" w:rsidR="00993848" w:rsidRPr="00993848" w:rsidRDefault="00993848" w:rsidP="00524069">
      <w:pPr>
        <w:pStyle w:val="Textoindependiente"/>
        <w:spacing w:before="13"/>
        <w:jc w:val="both"/>
        <w:rPr>
          <w:sz w:val="18"/>
          <w:szCs w:val="18"/>
        </w:rPr>
      </w:pPr>
      <w:r w:rsidRPr="00993848">
        <w:rPr>
          <w:sz w:val="18"/>
          <w:szCs w:val="18"/>
        </w:rPr>
        <w:t xml:space="preserve">From an operational perspective, alkaline-catalyzed transesterification remains the most widely used process due to its kinetic efficiency and high yields under controlled conditions. However, its performance strongly depends on variables such as the alcohol-to-oil molar ratio and catalyst dosage, which determine the conversion of triglycerides into methyl esters and thus the final fuel properties. Poor control of these variables may lead to </w:t>
      </w:r>
      <w:r w:rsidRPr="00993848">
        <w:rPr>
          <w:sz w:val="18"/>
          <w:szCs w:val="18"/>
        </w:rPr>
        <w:lastRenderedPageBreak/>
        <w:t>secondary reactions such as saponification, reducing yield and complicating phase separation.</w:t>
      </w:r>
    </w:p>
    <w:p w14:paraId="4FBB1131" w14:textId="77777777" w:rsidR="00993848" w:rsidRPr="00993848" w:rsidRDefault="00993848" w:rsidP="00524069">
      <w:pPr>
        <w:pStyle w:val="Textoindependiente"/>
        <w:spacing w:before="13"/>
        <w:jc w:val="both"/>
        <w:rPr>
          <w:sz w:val="18"/>
          <w:szCs w:val="18"/>
        </w:rPr>
      </w:pPr>
      <w:r w:rsidRPr="00993848">
        <w:rPr>
          <w:sz w:val="18"/>
          <w:szCs w:val="18"/>
        </w:rPr>
        <w:t>Several studies have demonstrated that optimizing the methanol-to-oil molar ratio and alkaline catalyst concentration (e.g., NaOH) significantly improves both yield and physicochemical properties of biodiesel, including viscosity, acid value, and oxidative stability. These parameters also influence thermal behavior, affecting cloud point and pour point, which are especially relevant in tropical climates.</w:t>
      </w:r>
    </w:p>
    <w:p w14:paraId="568F5379" w14:textId="77777777" w:rsidR="00993848" w:rsidRPr="00993848" w:rsidRDefault="00993848" w:rsidP="00524069">
      <w:pPr>
        <w:pStyle w:val="Textoindependiente"/>
        <w:spacing w:before="13"/>
        <w:jc w:val="both"/>
        <w:rPr>
          <w:sz w:val="18"/>
          <w:szCs w:val="18"/>
        </w:rPr>
      </w:pPr>
      <w:r w:rsidRPr="00993848">
        <w:rPr>
          <w:sz w:val="18"/>
          <w:szCs w:val="18"/>
        </w:rPr>
        <w:t>In the Ucayali region, palm oil production is an important agro-industrial activity. However, there is still limited scientific information regarding the behavior of local crude palm oil in biodiesel production under alkaline catalysis. This knowledge gap limits its efficient use as a renewable energy source.</w:t>
      </w:r>
    </w:p>
    <w:p w14:paraId="53823E85" w14:textId="77777777" w:rsidR="00993848" w:rsidRPr="00993848" w:rsidRDefault="00993848" w:rsidP="00524069">
      <w:pPr>
        <w:pStyle w:val="Textoindependiente"/>
        <w:spacing w:before="13"/>
        <w:jc w:val="both"/>
        <w:rPr>
          <w:szCs w:val="24"/>
        </w:rPr>
      </w:pPr>
      <w:r w:rsidRPr="00993848">
        <w:rPr>
          <w:sz w:val="18"/>
          <w:szCs w:val="18"/>
        </w:rPr>
        <w:t>Therefore, this study evaluates the influence of the methanol–oil molar ratio and NaOH concentration on biodiesel yield and properties, considering the specific characteristics of the raw material used</w:t>
      </w:r>
      <w:r w:rsidRPr="00993848">
        <w:rPr>
          <w:szCs w:val="24"/>
        </w:rPr>
        <w:t>.</w:t>
      </w:r>
    </w:p>
    <w:p w14:paraId="2EAFDDB6" w14:textId="2BD955DA" w:rsidR="00DF67E4" w:rsidRDefault="00DF67E4" w:rsidP="00524069">
      <w:pPr>
        <w:pStyle w:val="Textoindependiente"/>
        <w:spacing w:before="13"/>
        <w:jc w:val="both"/>
        <w:rPr>
          <w:sz w:val="22"/>
          <w:szCs w:val="24"/>
        </w:rPr>
      </w:pPr>
    </w:p>
    <w:p w14:paraId="1AE06C28" w14:textId="1E5A4A07" w:rsidR="00993848" w:rsidRPr="00993848" w:rsidRDefault="00993848" w:rsidP="00234192">
      <w:pPr>
        <w:pStyle w:val="Textoindependiente"/>
        <w:spacing w:before="13"/>
        <w:jc w:val="both"/>
        <w:rPr>
          <w:sz w:val="22"/>
          <w:szCs w:val="24"/>
        </w:rPr>
      </w:pPr>
      <w:r w:rsidRPr="00993848">
        <w:rPr>
          <w:b/>
          <w:bCs/>
          <w:sz w:val="18"/>
          <w:szCs w:val="18"/>
        </w:rPr>
        <w:t>2.</w:t>
      </w:r>
      <w:r w:rsidRPr="00993848">
        <w:rPr>
          <w:rFonts w:ascii="Arial" w:eastAsia="Arial" w:hAnsi="Arial" w:cs="Arial"/>
          <w:b/>
        </w:rPr>
        <w:t xml:space="preserve"> </w:t>
      </w:r>
      <w:r>
        <w:rPr>
          <w:rFonts w:ascii="Arial" w:eastAsia="Arial" w:hAnsi="Arial" w:cs="Arial"/>
          <w:b/>
        </w:rPr>
        <w:t>Met</w:t>
      </w:r>
      <w:r>
        <w:rPr>
          <w:rFonts w:ascii="Arial" w:eastAsia="Arial" w:hAnsi="Arial" w:cs="Arial"/>
          <w:b/>
          <w:spacing w:val="1"/>
        </w:rPr>
        <w:t>h</w:t>
      </w:r>
      <w:r>
        <w:rPr>
          <w:rFonts w:ascii="Arial" w:eastAsia="Arial" w:hAnsi="Arial" w:cs="Arial"/>
          <w:b/>
        </w:rPr>
        <w:t>odolo</w:t>
      </w:r>
      <w:r>
        <w:rPr>
          <w:rFonts w:ascii="Arial" w:eastAsia="Arial" w:hAnsi="Arial" w:cs="Arial"/>
          <w:b/>
          <w:spacing w:val="1"/>
        </w:rPr>
        <w:t>g</w:t>
      </w:r>
      <w:r>
        <w:rPr>
          <w:rFonts w:ascii="Arial" w:eastAsia="Arial" w:hAnsi="Arial" w:cs="Arial"/>
          <w:b/>
        </w:rPr>
        <w:t>y</w:t>
      </w:r>
    </w:p>
    <w:p w14:paraId="39C2E908" w14:textId="77777777" w:rsidR="00993848" w:rsidRDefault="00993848" w:rsidP="00993848">
      <w:pPr>
        <w:jc w:val="both"/>
        <w:rPr>
          <w:sz w:val="18"/>
          <w:szCs w:val="18"/>
        </w:rPr>
      </w:pPr>
    </w:p>
    <w:p w14:paraId="2D598B6F" w14:textId="4C6AD6E5" w:rsidR="00993848" w:rsidRPr="00993848" w:rsidRDefault="00993848" w:rsidP="00993848">
      <w:pPr>
        <w:jc w:val="both"/>
        <w:rPr>
          <w:sz w:val="18"/>
          <w:szCs w:val="18"/>
        </w:rPr>
      </w:pPr>
      <w:r w:rsidRPr="00993848">
        <w:rPr>
          <w:sz w:val="18"/>
          <w:szCs w:val="18"/>
        </w:rPr>
        <w:t>The transesterification process was carried out under controlled laboratory conditions, evaluating the influence of the methanol–oil molar ratio and alkaline catalyst concentration on biodiesel yield.</w:t>
      </w:r>
    </w:p>
    <w:p w14:paraId="5F46F95D" w14:textId="77777777" w:rsidR="00993848" w:rsidRPr="00993848" w:rsidRDefault="00993848" w:rsidP="00993848">
      <w:pPr>
        <w:jc w:val="both"/>
        <w:rPr>
          <w:sz w:val="18"/>
          <w:szCs w:val="18"/>
        </w:rPr>
      </w:pPr>
      <w:r w:rsidRPr="00993848">
        <w:rPr>
          <w:sz w:val="18"/>
          <w:szCs w:val="18"/>
        </w:rPr>
        <w:t>Operational conditions such as temperature, reaction time, and agitation were kept constant to ensure reproducibility. Phase separation was performed by decantation, followed by washing and drying steps.</w:t>
      </w:r>
    </w:p>
    <w:p w14:paraId="40D94F09" w14:textId="77777777" w:rsidR="00993848" w:rsidRPr="00993848" w:rsidRDefault="00993848" w:rsidP="00993848">
      <w:pPr>
        <w:jc w:val="both"/>
        <w:rPr>
          <w:sz w:val="18"/>
          <w:szCs w:val="18"/>
        </w:rPr>
      </w:pPr>
      <w:r w:rsidRPr="00993848">
        <w:rPr>
          <w:sz w:val="18"/>
          <w:szCs w:val="18"/>
        </w:rPr>
        <w:t>Reactions were conducted in a batch reactor equipped with heating and temperature control, at 60 ± 2 °C, 90 minutes, and 600 rpm.</w:t>
      </w:r>
    </w:p>
    <w:p w14:paraId="6BB9D579" w14:textId="77777777" w:rsidR="00993848" w:rsidRPr="00993848" w:rsidRDefault="00993848" w:rsidP="00993848">
      <w:pPr>
        <w:jc w:val="both"/>
        <w:rPr>
          <w:sz w:val="18"/>
          <w:szCs w:val="18"/>
        </w:rPr>
      </w:pPr>
      <w:r w:rsidRPr="00993848">
        <w:rPr>
          <w:sz w:val="18"/>
          <w:szCs w:val="18"/>
        </w:rPr>
        <w:t>Each experiment was performed in triplicate. Biodiesel yield was determined gravimetrically.</w:t>
      </w:r>
    </w:p>
    <w:p w14:paraId="533F6E8E" w14:textId="77777777" w:rsidR="00993848" w:rsidRPr="00993848" w:rsidRDefault="00993848" w:rsidP="00993848">
      <w:pPr>
        <w:jc w:val="both"/>
        <w:rPr>
          <w:sz w:val="18"/>
          <w:szCs w:val="18"/>
        </w:rPr>
      </w:pPr>
      <w:r w:rsidRPr="00993848">
        <w:rPr>
          <w:sz w:val="18"/>
          <w:szCs w:val="18"/>
        </w:rPr>
        <w:t>Phase separation was carried out for 24 h, followed by washing with distilled water at 60 °C until neutral pH, and drying to remove moisture.</w:t>
      </w:r>
    </w:p>
    <w:p w14:paraId="4DC50899" w14:textId="77777777" w:rsidR="00BD4170" w:rsidRDefault="00BD4170" w:rsidP="00BD4170">
      <w:pPr>
        <w:jc w:val="both"/>
        <w:rPr>
          <w:sz w:val="18"/>
          <w:szCs w:val="18"/>
        </w:rPr>
      </w:pPr>
    </w:p>
    <w:p w14:paraId="32BA93D8" w14:textId="4E00ADB5" w:rsidR="00524069" w:rsidRPr="00524069" w:rsidRDefault="00524069" w:rsidP="00524069">
      <w:pPr>
        <w:pStyle w:val="Prrafodelista"/>
        <w:numPr>
          <w:ilvl w:val="0"/>
          <w:numId w:val="2"/>
        </w:numPr>
        <w:ind w:left="142" w:right="5399" w:hanging="284"/>
        <w:jc w:val="both"/>
        <w:rPr>
          <w:rFonts w:ascii="Arial" w:eastAsia="Arial" w:hAnsi="Arial" w:cs="Arial"/>
          <w:b/>
          <w:sz w:val="20"/>
          <w:szCs w:val="20"/>
        </w:rPr>
      </w:pPr>
      <w:r w:rsidRPr="00524069">
        <w:rPr>
          <w:rFonts w:ascii="Arial" w:eastAsia="Arial" w:hAnsi="Arial" w:cs="Arial"/>
          <w:b/>
          <w:sz w:val="20"/>
          <w:szCs w:val="20"/>
        </w:rPr>
        <w:t>Resul</w:t>
      </w:r>
      <w:r w:rsidRPr="00524069">
        <w:rPr>
          <w:rFonts w:ascii="Arial" w:eastAsia="Arial" w:hAnsi="Arial" w:cs="Arial"/>
          <w:b/>
          <w:spacing w:val="1"/>
          <w:sz w:val="20"/>
          <w:szCs w:val="20"/>
        </w:rPr>
        <w:t>t</w:t>
      </w:r>
      <w:r w:rsidRPr="00524069">
        <w:rPr>
          <w:rFonts w:ascii="Arial" w:eastAsia="Arial" w:hAnsi="Arial" w:cs="Arial"/>
          <w:b/>
          <w:sz w:val="20"/>
          <w:szCs w:val="20"/>
        </w:rPr>
        <w:t>s</w:t>
      </w:r>
      <w:r w:rsidRPr="00524069">
        <w:rPr>
          <w:rFonts w:ascii="Arial" w:eastAsia="Arial" w:hAnsi="Arial" w:cs="Arial"/>
          <w:b/>
          <w:spacing w:val="-5"/>
          <w:sz w:val="20"/>
          <w:szCs w:val="20"/>
        </w:rPr>
        <w:t xml:space="preserve"> </w:t>
      </w:r>
      <w:r w:rsidRPr="00524069">
        <w:rPr>
          <w:rFonts w:ascii="Arial" w:eastAsia="Arial" w:hAnsi="Arial" w:cs="Arial"/>
          <w:b/>
          <w:sz w:val="20"/>
          <w:szCs w:val="20"/>
        </w:rPr>
        <w:t>and</w:t>
      </w:r>
      <w:r w:rsidRPr="00524069">
        <w:rPr>
          <w:rFonts w:ascii="Arial" w:eastAsia="Arial" w:hAnsi="Arial" w:cs="Arial"/>
          <w:b/>
          <w:spacing w:val="-3"/>
          <w:sz w:val="20"/>
          <w:szCs w:val="20"/>
        </w:rPr>
        <w:t xml:space="preserve"> </w:t>
      </w:r>
      <w:r w:rsidRPr="00524069">
        <w:rPr>
          <w:rFonts w:ascii="Arial" w:eastAsia="Arial" w:hAnsi="Arial" w:cs="Arial"/>
          <w:b/>
          <w:sz w:val="20"/>
          <w:szCs w:val="20"/>
        </w:rPr>
        <w:t>Di</w:t>
      </w:r>
      <w:r w:rsidRPr="00524069">
        <w:rPr>
          <w:rFonts w:ascii="Arial" w:eastAsia="Arial" w:hAnsi="Arial" w:cs="Arial"/>
          <w:b/>
          <w:spacing w:val="2"/>
          <w:sz w:val="20"/>
          <w:szCs w:val="20"/>
        </w:rPr>
        <w:t>s</w:t>
      </w:r>
      <w:r w:rsidRPr="00524069">
        <w:rPr>
          <w:rFonts w:ascii="Arial" w:eastAsia="Arial" w:hAnsi="Arial" w:cs="Arial"/>
          <w:b/>
          <w:sz w:val="20"/>
          <w:szCs w:val="20"/>
        </w:rPr>
        <w:t>cussion</w:t>
      </w:r>
    </w:p>
    <w:p w14:paraId="0617FD22" w14:textId="77777777" w:rsidR="00524069" w:rsidRPr="00524069" w:rsidRDefault="00524069" w:rsidP="00524069">
      <w:pPr>
        <w:pStyle w:val="Prrafodelista"/>
        <w:ind w:left="720" w:right="5399"/>
        <w:jc w:val="both"/>
        <w:rPr>
          <w:rFonts w:ascii="Arial" w:eastAsia="Arial" w:hAnsi="Arial" w:cs="Arial"/>
          <w:b/>
          <w:sz w:val="20"/>
          <w:szCs w:val="20"/>
        </w:rPr>
      </w:pPr>
    </w:p>
    <w:p w14:paraId="556C257E" w14:textId="77777777" w:rsidR="00524069" w:rsidRPr="00524069" w:rsidRDefault="00524069" w:rsidP="00524069">
      <w:pPr>
        <w:jc w:val="both"/>
        <w:rPr>
          <w:sz w:val="18"/>
          <w:szCs w:val="18"/>
        </w:rPr>
      </w:pPr>
      <w:r w:rsidRPr="00524069">
        <w:rPr>
          <w:sz w:val="18"/>
          <w:szCs w:val="18"/>
        </w:rPr>
        <w:t>The experimental results obtained from the factorial design revealed a significant influence of the methanol–oil molar ratio and NaOH concentration on both biodiesel yield and its physicochemical properties. In general, higAmong the evaluated conditions, an optimal balance between molar ratio and catalyst concentration was identified, allowing the achievement of the highest biodiesel yield. Additionally, variations in process parameters were reflected in changes in key properties such as viscosity and density, indicating their direct impact on biodiesel quality.</w:t>
      </w:r>
    </w:p>
    <w:p w14:paraId="30E72F63" w14:textId="77777777" w:rsidR="00524069" w:rsidRPr="00524069" w:rsidRDefault="00524069" w:rsidP="00524069">
      <w:pPr>
        <w:jc w:val="both"/>
        <w:rPr>
          <w:sz w:val="18"/>
          <w:szCs w:val="18"/>
        </w:rPr>
      </w:pPr>
    </w:p>
    <w:p w14:paraId="3412D323" w14:textId="3011AFEC" w:rsidR="00524069" w:rsidRDefault="00524069" w:rsidP="00524069">
      <w:pPr>
        <w:jc w:val="both"/>
        <w:rPr>
          <w:sz w:val="18"/>
          <w:szCs w:val="18"/>
        </w:rPr>
      </w:pPr>
      <w:r w:rsidRPr="00524069">
        <w:rPr>
          <w:sz w:val="18"/>
          <w:szCs w:val="18"/>
        </w:rPr>
        <w:t>These results highlight the importance of optimizing reaction conditions to maximize biodiesel production while maintaining suitable fuel properties. The detailed results of the experimental treatments and their corresponding properties are presented in the following tables.her molar ratios favored the conversion of triglycerides into methyl esters, leading to increased biodiesel yields. However, excessive catalyst concentrations showed a tendency to promote secondary reactions such as saponification, which negatively affected the efficiency of the process.</w:t>
      </w:r>
    </w:p>
    <w:p w14:paraId="06D7899B" w14:textId="77777777" w:rsidR="00993848" w:rsidRPr="00993848" w:rsidRDefault="00993848" w:rsidP="00BD4170">
      <w:pPr>
        <w:jc w:val="both"/>
        <w:rPr>
          <w:sz w:val="18"/>
          <w:szCs w:val="18"/>
        </w:rPr>
      </w:pPr>
    </w:p>
    <w:p w14:paraId="1D15918B" w14:textId="3196CB19" w:rsidR="00D036F4" w:rsidRDefault="00993848" w:rsidP="00BD4170">
      <w:pPr>
        <w:jc w:val="both"/>
        <w:rPr>
          <w:i/>
          <w:iCs/>
          <w:sz w:val="18"/>
          <w:szCs w:val="18"/>
        </w:rPr>
      </w:pPr>
      <w:r w:rsidRPr="00993848">
        <w:rPr>
          <w:i/>
          <w:iCs/>
          <w:sz w:val="18"/>
          <w:szCs w:val="18"/>
        </w:rPr>
        <w:t>Table 1. Raw materials and reagents</w:t>
      </w:r>
    </w:p>
    <w:p w14:paraId="62C4B659" w14:textId="77777777" w:rsidR="00D036F4" w:rsidRDefault="00D036F4" w:rsidP="00BD4170">
      <w:pPr>
        <w:jc w:val="both"/>
        <w:rPr>
          <w:i/>
          <w:iCs/>
          <w:sz w:val="18"/>
          <w:szCs w:val="18"/>
        </w:rPr>
      </w:pPr>
    </w:p>
    <w:tbl>
      <w:tblPr>
        <w:tblW w:w="0" w:type="auto"/>
        <w:tblBorders>
          <w:top w:val="single" w:sz="4" w:space="0" w:color="auto"/>
          <w:bottom w:val="single" w:sz="4" w:space="0" w:color="auto"/>
        </w:tblBorders>
        <w:tblLook w:val="04A0" w:firstRow="1" w:lastRow="0" w:firstColumn="1" w:lastColumn="0" w:noHBand="0" w:noVBand="1"/>
      </w:tblPr>
      <w:tblGrid>
        <w:gridCol w:w="2930"/>
        <w:gridCol w:w="2930"/>
        <w:gridCol w:w="2930"/>
      </w:tblGrid>
      <w:tr w:rsidR="00D036F4" w:rsidRPr="00FF4B8A" w14:paraId="2F8165F0" w14:textId="77777777" w:rsidTr="00EE21B5">
        <w:trPr>
          <w:trHeight w:val="234"/>
        </w:trPr>
        <w:tc>
          <w:tcPr>
            <w:tcW w:w="2930" w:type="dxa"/>
            <w:tcBorders>
              <w:top w:val="single" w:sz="4" w:space="0" w:color="auto"/>
              <w:bottom w:val="single" w:sz="4" w:space="0" w:color="auto"/>
            </w:tcBorders>
          </w:tcPr>
          <w:p w14:paraId="334696E8" w14:textId="20AA4DE1" w:rsidR="00D036F4" w:rsidRPr="00EE21B5" w:rsidRDefault="00D036F4" w:rsidP="00F366AB">
            <w:pPr>
              <w:rPr>
                <w:sz w:val="18"/>
                <w:szCs w:val="18"/>
              </w:rPr>
            </w:pPr>
            <w:r w:rsidRPr="00993848">
              <w:rPr>
                <w:sz w:val="18"/>
                <w:szCs w:val="18"/>
                <w:lang w:val="es-PE"/>
              </w:rPr>
              <w:t>Material / Reagent</w:t>
            </w:r>
          </w:p>
        </w:tc>
        <w:tc>
          <w:tcPr>
            <w:tcW w:w="2930" w:type="dxa"/>
            <w:tcBorders>
              <w:top w:val="single" w:sz="4" w:space="0" w:color="auto"/>
              <w:bottom w:val="single" w:sz="4" w:space="0" w:color="auto"/>
            </w:tcBorders>
          </w:tcPr>
          <w:p w14:paraId="3618232A" w14:textId="44518FDB" w:rsidR="00D036F4" w:rsidRPr="00EE21B5" w:rsidRDefault="00D036F4" w:rsidP="00F366AB">
            <w:pPr>
              <w:rPr>
                <w:sz w:val="18"/>
                <w:szCs w:val="18"/>
              </w:rPr>
            </w:pPr>
            <w:r w:rsidRPr="00993848">
              <w:rPr>
                <w:sz w:val="18"/>
                <w:szCs w:val="18"/>
                <w:lang w:val="es-PE"/>
              </w:rPr>
              <w:t>Specification</w:t>
            </w:r>
          </w:p>
        </w:tc>
        <w:tc>
          <w:tcPr>
            <w:tcW w:w="2930" w:type="dxa"/>
            <w:tcBorders>
              <w:top w:val="single" w:sz="4" w:space="0" w:color="auto"/>
              <w:bottom w:val="single" w:sz="4" w:space="0" w:color="auto"/>
            </w:tcBorders>
          </w:tcPr>
          <w:p w14:paraId="5709D6C7" w14:textId="1EA53A0C" w:rsidR="00D036F4" w:rsidRPr="00EE21B5" w:rsidRDefault="00D036F4" w:rsidP="00F366AB">
            <w:pPr>
              <w:rPr>
                <w:sz w:val="18"/>
                <w:szCs w:val="18"/>
              </w:rPr>
            </w:pPr>
            <w:r w:rsidRPr="00993848">
              <w:rPr>
                <w:sz w:val="18"/>
                <w:szCs w:val="18"/>
                <w:lang w:val="es-PE"/>
              </w:rPr>
              <w:t>Function</w:t>
            </w:r>
          </w:p>
        </w:tc>
      </w:tr>
      <w:tr w:rsidR="00D036F4" w:rsidRPr="00FF4B8A" w14:paraId="0CC085CC" w14:textId="77777777" w:rsidTr="00EE21B5">
        <w:trPr>
          <w:trHeight w:val="252"/>
        </w:trPr>
        <w:tc>
          <w:tcPr>
            <w:tcW w:w="2930" w:type="dxa"/>
            <w:tcBorders>
              <w:top w:val="single" w:sz="4" w:space="0" w:color="auto"/>
            </w:tcBorders>
          </w:tcPr>
          <w:p w14:paraId="12307345" w14:textId="37A9A4FB" w:rsidR="00D036F4" w:rsidRPr="00EE21B5" w:rsidRDefault="00D036F4" w:rsidP="00F366AB">
            <w:pPr>
              <w:rPr>
                <w:sz w:val="18"/>
                <w:szCs w:val="18"/>
              </w:rPr>
            </w:pPr>
            <w:r w:rsidRPr="00993848">
              <w:rPr>
                <w:sz w:val="18"/>
                <w:szCs w:val="18"/>
                <w:lang w:val="es-PE"/>
              </w:rPr>
              <w:t>Crude palm oil</w:t>
            </w:r>
          </w:p>
        </w:tc>
        <w:tc>
          <w:tcPr>
            <w:tcW w:w="2930" w:type="dxa"/>
            <w:tcBorders>
              <w:top w:val="single" w:sz="4" w:space="0" w:color="auto"/>
            </w:tcBorders>
          </w:tcPr>
          <w:p w14:paraId="67C2D1B1" w14:textId="51BDAA94" w:rsidR="00D036F4" w:rsidRPr="00EE21B5" w:rsidRDefault="00D036F4" w:rsidP="00F366AB">
            <w:pPr>
              <w:rPr>
                <w:sz w:val="18"/>
                <w:szCs w:val="18"/>
              </w:rPr>
            </w:pPr>
            <w:r w:rsidRPr="00993848">
              <w:rPr>
                <w:sz w:val="18"/>
                <w:szCs w:val="18"/>
                <w:lang w:val="es-PE"/>
              </w:rPr>
              <w:t>Local production – Ucayali</w:t>
            </w:r>
          </w:p>
        </w:tc>
        <w:tc>
          <w:tcPr>
            <w:tcW w:w="2930" w:type="dxa"/>
            <w:tcBorders>
              <w:top w:val="single" w:sz="4" w:space="0" w:color="auto"/>
            </w:tcBorders>
          </w:tcPr>
          <w:p w14:paraId="37F352E9" w14:textId="7DC17945" w:rsidR="00D036F4" w:rsidRPr="00EE21B5" w:rsidRDefault="00D036F4" w:rsidP="00F366AB">
            <w:pPr>
              <w:rPr>
                <w:sz w:val="18"/>
                <w:szCs w:val="18"/>
              </w:rPr>
            </w:pPr>
            <w:r w:rsidRPr="00993848">
              <w:rPr>
                <w:sz w:val="18"/>
                <w:szCs w:val="18"/>
                <w:lang w:val="es-PE"/>
              </w:rPr>
              <w:t>Lipid feedstock</w:t>
            </w:r>
          </w:p>
        </w:tc>
      </w:tr>
      <w:tr w:rsidR="00D036F4" w:rsidRPr="00FF4B8A" w14:paraId="2F7AEF21" w14:textId="77777777" w:rsidTr="00EE21B5">
        <w:trPr>
          <w:trHeight w:val="252"/>
        </w:trPr>
        <w:tc>
          <w:tcPr>
            <w:tcW w:w="2930" w:type="dxa"/>
          </w:tcPr>
          <w:p w14:paraId="50D98BB8" w14:textId="03438DE7" w:rsidR="00D036F4" w:rsidRPr="00EE21B5" w:rsidRDefault="00D036F4" w:rsidP="00F366AB">
            <w:pPr>
              <w:rPr>
                <w:sz w:val="18"/>
                <w:szCs w:val="18"/>
              </w:rPr>
            </w:pPr>
            <w:r w:rsidRPr="00993848">
              <w:rPr>
                <w:sz w:val="18"/>
                <w:szCs w:val="18"/>
                <w:lang w:val="es-PE"/>
              </w:rPr>
              <w:t>Methanol</w:t>
            </w:r>
          </w:p>
        </w:tc>
        <w:tc>
          <w:tcPr>
            <w:tcW w:w="2930" w:type="dxa"/>
          </w:tcPr>
          <w:p w14:paraId="44D1FCEB" w14:textId="23258CC4" w:rsidR="00D036F4" w:rsidRPr="00EE21B5" w:rsidRDefault="00D036F4" w:rsidP="00F366AB">
            <w:pPr>
              <w:rPr>
                <w:sz w:val="18"/>
                <w:szCs w:val="18"/>
              </w:rPr>
            </w:pPr>
            <w:r w:rsidRPr="00993848">
              <w:rPr>
                <w:sz w:val="18"/>
                <w:szCs w:val="18"/>
                <w:lang w:val="es-PE"/>
              </w:rPr>
              <w:t>Analytical grade</w:t>
            </w:r>
          </w:p>
        </w:tc>
        <w:tc>
          <w:tcPr>
            <w:tcW w:w="2930" w:type="dxa"/>
          </w:tcPr>
          <w:p w14:paraId="46E08C80" w14:textId="41EC66C7" w:rsidR="00D036F4" w:rsidRPr="00EE21B5" w:rsidRDefault="00D036F4" w:rsidP="00F366AB">
            <w:pPr>
              <w:rPr>
                <w:sz w:val="18"/>
                <w:szCs w:val="18"/>
              </w:rPr>
            </w:pPr>
            <w:r w:rsidRPr="00993848">
              <w:rPr>
                <w:sz w:val="18"/>
                <w:szCs w:val="18"/>
                <w:lang w:val="es-PE"/>
              </w:rPr>
              <w:t>Transesterification alcohol</w:t>
            </w:r>
          </w:p>
        </w:tc>
      </w:tr>
      <w:tr w:rsidR="00D036F4" w:rsidRPr="00FF4B8A" w14:paraId="6E60DFDC" w14:textId="77777777" w:rsidTr="00EE21B5">
        <w:trPr>
          <w:trHeight w:val="306"/>
        </w:trPr>
        <w:tc>
          <w:tcPr>
            <w:tcW w:w="2930" w:type="dxa"/>
          </w:tcPr>
          <w:p w14:paraId="1A349CA8" w14:textId="77777777" w:rsidR="00D036F4" w:rsidRPr="00EE21B5" w:rsidRDefault="00D036F4" w:rsidP="00F366AB">
            <w:pPr>
              <w:rPr>
                <w:sz w:val="18"/>
                <w:szCs w:val="18"/>
              </w:rPr>
            </w:pPr>
            <w:r w:rsidRPr="00EE21B5">
              <w:rPr>
                <w:sz w:val="18"/>
                <w:szCs w:val="18"/>
              </w:rPr>
              <w:t>NaOH</w:t>
            </w:r>
          </w:p>
        </w:tc>
        <w:tc>
          <w:tcPr>
            <w:tcW w:w="2930" w:type="dxa"/>
          </w:tcPr>
          <w:p w14:paraId="6F6AA06F" w14:textId="4C18E414" w:rsidR="00D036F4" w:rsidRPr="00EE21B5" w:rsidRDefault="00D036F4" w:rsidP="00F366AB">
            <w:pPr>
              <w:rPr>
                <w:sz w:val="18"/>
                <w:szCs w:val="18"/>
              </w:rPr>
            </w:pPr>
            <w:r w:rsidRPr="00EE21B5">
              <w:rPr>
                <w:sz w:val="18"/>
                <w:szCs w:val="18"/>
              </w:rPr>
              <w:t xml:space="preserve">≥ 98 % </w:t>
            </w:r>
            <w:r w:rsidRPr="00993848">
              <w:rPr>
                <w:sz w:val="18"/>
                <w:szCs w:val="18"/>
                <w:lang w:val="es-PE"/>
              </w:rPr>
              <w:t>purity</w:t>
            </w:r>
          </w:p>
        </w:tc>
        <w:tc>
          <w:tcPr>
            <w:tcW w:w="2930" w:type="dxa"/>
          </w:tcPr>
          <w:p w14:paraId="6899C67F" w14:textId="2B740CA4" w:rsidR="00D036F4" w:rsidRPr="00EE21B5" w:rsidRDefault="00D036F4" w:rsidP="00F366AB">
            <w:pPr>
              <w:rPr>
                <w:sz w:val="18"/>
                <w:szCs w:val="18"/>
              </w:rPr>
            </w:pPr>
            <w:r w:rsidRPr="00993848">
              <w:rPr>
                <w:sz w:val="18"/>
                <w:szCs w:val="18"/>
                <w:lang w:val="es-PE"/>
              </w:rPr>
              <w:t>Alkaline catalyst</w:t>
            </w:r>
          </w:p>
        </w:tc>
      </w:tr>
      <w:tr w:rsidR="00D036F4" w:rsidRPr="00FF4B8A" w14:paraId="770ADDCE" w14:textId="77777777" w:rsidTr="00EE21B5">
        <w:trPr>
          <w:trHeight w:val="288"/>
        </w:trPr>
        <w:tc>
          <w:tcPr>
            <w:tcW w:w="2930" w:type="dxa"/>
          </w:tcPr>
          <w:p w14:paraId="1578E014" w14:textId="2D158053" w:rsidR="00D036F4" w:rsidRPr="00EE21B5" w:rsidRDefault="00D036F4" w:rsidP="00D036F4">
            <w:pPr>
              <w:rPr>
                <w:sz w:val="18"/>
                <w:szCs w:val="18"/>
              </w:rPr>
            </w:pPr>
            <w:r w:rsidRPr="00EE21B5">
              <w:rPr>
                <w:sz w:val="18"/>
                <w:szCs w:val="18"/>
              </w:rPr>
              <w:t>Distilled water</w:t>
            </w:r>
          </w:p>
        </w:tc>
        <w:tc>
          <w:tcPr>
            <w:tcW w:w="2930" w:type="dxa"/>
          </w:tcPr>
          <w:p w14:paraId="59391B22" w14:textId="77777777" w:rsidR="00D036F4" w:rsidRPr="00EE21B5" w:rsidRDefault="00D036F4" w:rsidP="00D036F4">
            <w:pPr>
              <w:rPr>
                <w:sz w:val="18"/>
                <w:szCs w:val="18"/>
              </w:rPr>
            </w:pPr>
            <w:r w:rsidRPr="00EE21B5">
              <w:rPr>
                <w:sz w:val="18"/>
                <w:szCs w:val="18"/>
              </w:rPr>
              <w:t>—</w:t>
            </w:r>
          </w:p>
        </w:tc>
        <w:tc>
          <w:tcPr>
            <w:tcW w:w="2930" w:type="dxa"/>
          </w:tcPr>
          <w:p w14:paraId="7ED2C635" w14:textId="4D0EB1E8" w:rsidR="00D036F4" w:rsidRPr="00EE21B5" w:rsidRDefault="00D036F4" w:rsidP="00D036F4">
            <w:pPr>
              <w:rPr>
                <w:sz w:val="18"/>
                <w:szCs w:val="18"/>
              </w:rPr>
            </w:pPr>
            <w:r w:rsidRPr="00993848">
              <w:rPr>
                <w:sz w:val="18"/>
                <w:szCs w:val="18"/>
                <w:lang w:val="es-PE"/>
              </w:rPr>
              <w:t>Biodiesel washing</w:t>
            </w:r>
          </w:p>
        </w:tc>
      </w:tr>
      <w:tr w:rsidR="00D036F4" w:rsidRPr="00FF4B8A" w14:paraId="30FFE811" w14:textId="77777777" w:rsidTr="00EE21B5">
        <w:trPr>
          <w:trHeight w:val="95"/>
        </w:trPr>
        <w:tc>
          <w:tcPr>
            <w:tcW w:w="2930" w:type="dxa"/>
          </w:tcPr>
          <w:p w14:paraId="76EC2018" w14:textId="77777777" w:rsidR="00D036F4" w:rsidRPr="00FF4B8A" w:rsidRDefault="00D036F4" w:rsidP="00D036F4"/>
        </w:tc>
        <w:tc>
          <w:tcPr>
            <w:tcW w:w="2930" w:type="dxa"/>
          </w:tcPr>
          <w:p w14:paraId="5B982716" w14:textId="77777777" w:rsidR="00D036F4" w:rsidRPr="00FF4B8A" w:rsidRDefault="00D036F4" w:rsidP="00D036F4"/>
        </w:tc>
        <w:tc>
          <w:tcPr>
            <w:tcW w:w="2930" w:type="dxa"/>
          </w:tcPr>
          <w:p w14:paraId="77206642" w14:textId="77777777" w:rsidR="00D036F4" w:rsidRPr="00FF4B8A" w:rsidRDefault="00D036F4" w:rsidP="00D036F4"/>
        </w:tc>
      </w:tr>
    </w:tbl>
    <w:p w14:paraId="788FD1D8" w14:textId="77777777" w:rsidR="00993848" w:rsidRDefault="00993848" w:rsidP="00BD4170">
      <w:pPr>
        <w:jc w:val="both"/>
        <w:rPr>
          <w:sz w:val="18"/>
          <w:szCs w:val="18"/>
        </w:rPr>
      </w:pPr>
    </w:p>
    <w:p w14:paraId="21D9B71F" w14:textId="77777777" w:rsidR="00993848" w:rsidRPr="00993848" w:rsidRDefault="00993848" w:rsidP="00993848">
      <w:pPr>
        <w:pStyle w:val="Descripcin"/>
        <w:keepNext/>
        <w:jc w:val="both"/>
        <w:rPr>
          <w:i w:val="0"/>
          <w:iCs w:val="0"/>
          <w:color w:val="000000" w:themeColor="text1"/>
        </w:rPr>
      </w:pPr>
      <w:r w:rsidRPr="00993848">
        <w:rPr>
          <w:i w:val="0"/>
          <w:iCs w:val="0"/>
          <w:color w:val="000000" w:themeColor="text1"/>
        </w:rPr>
        <w:t>Table 1 presents the raw materials and reagents used in the biodiesel production process. Crude palm oil constitutes the main lipid feedstock, while methanol and sodium hydroxide enable the conversion of triglycerides into methyl esters. Distilled water was used during the purification stage.</w:t>
      </w:r>
    </w:p>
    <w:p w14:paraId="3852DF6D" w14:textId="77777777" w:rsidR="00993848" w:rsidRPr="00993848" w:rsidRDefault="00993848" w:rsidP="00993848">
      <w:pPr>
        <w:pStyle w:val="Descripcin"/>
        <w:keepNext/>
        <w:jc w:val="both"/>
        <w:rPr>
          <w:i w:val="0"/>
          <w:iCs w:val="0"/>
          <w:color w:val="000000" w:themeColor="text1"/>
        </w:rPr>
      </w:pPr>
      <w:r w:rsidRPr="00993848">
        <w:rPr>
          <w:i w:val="0"/>
          <w:iCs w:val="0"/>
          <w:color w:val="000000" w:themeColor="text1"/>
        </w:rPr>
        <w:t>The crude palm oil was previously characterized, showing a free fatty acid (FFA) content of 3.2%, moisture content of 0.45%, and a saponification index of 196 mg KOH/g. These parameters are critical in alkaline transesterification processes, as high FFA levels can induce saponification reactions, reducing biodiesel yield and complicating phase separation.</w:t>
      </w:r>
    </w:p>
    <w:p w14:paraId="265C0063" w14:textId="50912ED1" w:rsidR="00CD7577" w:rsidRPr="00524069" w:rsidRDefault="00993848" w:rsidP="00524069">
      <w:pPr>
        <w:pStyle w:val="Descripcin"/>
        <w:keepNext/>
        <w:jc w:val="both"/>
        <w:rPr>
          <w:i w:val="0"/>
          <w:iCs w:val="0"/>
          <w:color w:val="000000" w:themeColor="text1"/>
        </w:rPr>
      </w:pPr>
      <w:r w:rsidRPr="00993848">
        <w:rPr>
          <w:i w:val="0"/>
          <w:iCs w:val="0"/>
          <w:color w:val="000000" w:themeColor="text1"/>
        </w:rPr>
        <w:t xml:space="preserve">In this context, the operating conditions were adjusted considering these characteristics </w:t>
      </w:r>
      <w:proofErr w:type="gramStart"/>
      <w:r w:rsidRPr="00993848">
        <w:rPr>
          <w:i w:val="0"/>
          <w:iCs w:val="0"/>
          <w:color w:val="000000" w:themeColor="text1"/>
        </w:rPr>
        <w:t>in order to</w:t>
      </w:r>
      <w:proofErr w:type="gramEnd"/>
      <w:r w:rsidRPr="00993848">
        <w:rPr>
          <w:i w:val="0"/>
          <w:iCs w:val="0"/>
          <w:color w:val="000000" w:themeColor="text1"/>
        </w:rPr>
        <w:t xml:space="preserve"> minimize soap formation and optimize the conversion of triglycerides into methyl esters.</w:t>
      </w:r>
    </w:p>
    <w:p w14:paraId="14CA6490" w14:textId="77777777" w:rsidR="00CD7577" w:rsidRPr="00CD7577" w:rsidRDefault="00CD7577" w:rsidP="00CD7577"/>
    <w:p w14:paraId="26F3805E" w14:textId="7157F365" w:rsidR="005117D7" w:rsidRPr="00D036F4" w:rsidRDefault="00D036F4" w:rsidP="005117D7">
      <w:pPr>
        <w:pStyle w:val="Descripcin"/>
        <w:keepNext/>
        <w:rPr>
          <w:color w:val="000000" w:themeColor="text1"/>
          <w:lang w:val="es-PE"/>
        </w:rPr>
      </w:pPr>
      <w:r w:rsidRPr="00D036F4">
        <w:rPr>
          <w:color w:val="000000" w:themeColor="text1"/>
        </w:rPr>
        <w:lastRenderedPageBreak/>
        <w:t>Table 2. Experimental design variables</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DF67E4" w:rsidRPr="00FF4B8A" w14:paraId="6392B335" w14:textId="77777777" w:rsidTr="005117D7">
        <w:tc>
          <w:tcPr>
            <w:tcW w:w="2880" w:type="dxa"/>
            <w:tcBorders>
              <w:top w:val="single" w:sz="4" w:space="0" w:color="auto"/>
              <w:bottom w:val="single" w:sz="4" w:space="0" w:color="auto"/>
            </w:tcBorders>
          </w:tcPr>
          <w:p w14:paraId="0711F7E6" w14:textId="77777777" w:rsidR="00D036F4" w:rsidRPr="00D036F4" w:rsidRDefault="00D036F4" w:rsidP="00D036F4">
            <w:pPr>
              <w:rPr>
                <w:rFonts w:ascii="Times New Roman" w:eastAsia="Times New Roman" w:hAnsi="Times New Roman" w:cs="Times New Roman"/>
                <w:sz w:val="18"/>
                <w:szCs w:val="18"/>
              </w:rPr>
            </w:pPr>
            <w:r w:rsidRPr="00D036F4">
              <w:rPr>
                <w:sz w:val="18"/>
                <w:szCs w:val="18"/>
              </w:rPr>
              <w:t>Variable type</w:t>
            </w:r>
          </w:p>
          <w:p w14:paraId="4B0E1860" w14:textId="5ED7A4F8" w:rsidR="00DF67E4" w:rsidRPr="00D036F4" w:rsidRDefault="00DF67E4" w:rsidP="00DD4D54">
            <w:pPr>
              <w:rPr>
                <w:sz w:val="18"/>
                <w:szCs w:val="18"/>
              </w:rPr>
            </w:pPr>
          </w:p>
        </w:tc>
        <w:tc>
          <w:tcPr>
            <w:tcW w:w="2880" w:type="dxa"/>
            <w:tcBorders>
              <w:top w:val="single" w:sz="4" w:space="0" w:color="auto"/>
              <w:bottom w:val="single" w:sz="4" w:space="0" w:color="auto"/>
            </w:tcBorders>
          </w:tcPr>
          <w:p w14:paraId="76C9F0E4" w14:textId="3BF48C81" w:rsidR="00DF67E4" w:rsidRPr="00D036F4" w:rsidRDefault="00D036F4" w:rsidP="00DD4D54">
            <w:pPr>
              <w:rPr>
                <w:sz w:val="18"/>
                <w:szCs w:val="18"/>
              </w:rPr>
            </w:pPr>
            <w:r w:rsidRPr="00D036F4">
              <w:rPr>
                <w:sz w:val="18"/>
                <w:szCs w:val="18"/>
              </w:rPr>
              <w:t>Variable</w:t>
            </w:r>
          </w:p>
        </w:tc>
        <w:tc>
          <w:tcPr>
            <w:tcW w:w="2880" w:type="dxa"/>
            <w:tcBorders>
              <w:top w:val="single" w:sz="4" w:space="0" w:color="auto"/>
              <w:bottom w:val="single" w:sz="4" w:space="0" w:color="auto"/>
            </w:tcBorders>
          </w:tcPr>
          <w:p w14:paraId="3C2B48C0" w14:textId="292FB887" w:rsidR="00DF67E4" w:rsidRPr="00D036F4" w:rsidRDefault="00DF67E4" w:rsidP="00DD4D54">
            <w:pPr>
              <w:rPr>
                <w:sz w:val="18"/>
                <w:szCs w:val="18"/>
              </w:rPr>
            </w:pPr>
            <w:r w:rsidRPr="00D036F4">
              <w:rPr>
                <w:sz w:val="18"/>
                <w:szCs w:val="18"/>
              </w:rPr>
              <w:t>Uni</w:t>
            </w:r>
            <w:r w:rsidR="00CD7577">
              <w:rPr>
                <w:sz w:val="18"/>
                <w:szCs w:val="18"/>
              </w:rPr>
              <w:t>t</w:t>
            </w:r>
          </w:p>
        </w:tc>
      </w:tr>
      <w:tr w:rsidR="00DF67E4" w:rsidRPr="00FF4B8A" w14:paraId="54F22D9B" w14:textId="77777777" w:rsidTr="005117D7">
        <w:tc>
          <w:tcPr>
            <w:tcW w:w="2880" w:type="dxa"/>
            <w:tcBorders>
              <w:top w:val="single" w:sz="4" w:space="0" w:color="auto"/>
            </w:tcBorders>
          </w:tcPr>
          <w:p w14:paraId="0DF1E0B5" w14:textId="6AF32745" w:rsidR="00DF67E4" w:rsidRPr="00D036F4" w:rsidRDefault="00D036F4" w:rsidP="00DD4D54">
            <w:pPr>
              <w:rPr>
                <w:sz w:val="18"/>
                <w:szCs w:val="18"/>
              </w:rPr>
            </w:pPr>
            <w:r w:rsidRPr="00D036F4">
              <w:rPr>
                <w:sz w:val="18"/>
                <w:szCs w:val="18"/>
              </w:rPr>
              <w:t>Independent</w:t>
            </w:r>
          </w:p>
        </w:tc>
        <w:tc>
          <w:tcPr>
            <w:tcW w:w="2880" w:type="dxa"/>
            <w:tcBorders>
              <w:top w:val="single" w:sz="4" w:space="0" w:color="auto"/>
            </w:tcBorders>
          </w:tcPr>
          <w:p w14:paraId="13463B2D" w14:textId="6CEE3511" w:rsidR="00DF67E4" w:rsidRPr="00D036F4" w:rsidRDefault="00D036F4" w:rsidP="00DD4D54">
            <w:pPr>
              <w:rPr>
                <w:sz w:val="18"/>
                <w:szCs w:val="18"/>
              </w:rPr>
            </w:pPr>
            <w:r w:rsidRPr="00D036F4">
              <w:rPr>
                <w:sz w:val="18"/>
                <w:szCs w:val="18"/>
              </w:rPr>
              <w:t>Methanol–oil molar ratio</w:t>
            </w:r>
          </w:p>
        </w:tc>
        <w:tc>
          <w:tcPr>
            <w:tcW w:w="2880" w:type="dxa"/>
            <w:tcBorders>
              <w:top w:val="single" w:sz="4" w:space="0" w:color="auto"/>
            </w:tcBorders>
          </w:tcPr>
          <w:p w14:paraId="0858E267" w14:textId="77777777" w:rsidR="00DF67E4" w:rsidRPr="00D036F4" w:rsidRDefault="00DF67E4" w:rsidP="00DD4D54">
            <w:pPr>
              <w:rPr>
                <w:sz w:val="18"/>
                <w:szCs w:val="18"/>
              </w:rPr>
            </w:pPr>
            <w:r w:rsidRPr="00D036F4">
              <w:rPr>
                <w:sz w:val="18"/>
                <w:szCs w:val="18"/>
              </w:rPr>
              <w:t>—</w:t>
            </w:r>
          </w:p>
        </w:tc>
      </w:tr>
      <w:tr w:rsidR="00DF67E4" w:rsidRPr="00FF4B8A" w14:paraId="2F8C8962" w14:textId="77777777" w:rsidTr="005117D7">
        <w:tc>
          <w:tcPr>
            <w:tcW w:w="2880" w:type="dxa"/>
          </w:tcPr>
          <w:p w14:paraId="69CC893E" w14:textId="78154E25" w:rsidR="00DF67E4" w:rsidRPr="00D036F4" w:rsidRDefault="00D036F4" w:rsidP="00DD4D54">
            <w:pPr>
              <w:rPr>
                <w:sz w:val="18"/>
                <w:szCs w:val="18"/>
              </w:rPr>
            </w:pPr>
            <w:r w:rsidRPr="00D036F4">
              <w:rPr>
                <w:sz w:val="18"/>
                <w:szCs w:val="18"/>
              </w:rPr>
              <w:t>Independent</w:t>
            </w:r>
          </w:p>
        </w:tc>
        <w:tc>
          <w:tcPr>
            <w:tcW w:w="2880" w:type="dxa"/>
          </w:tcPr>
          <w:p w14:paraId="66BA0BFA" w14:textId="3C925027" w:rsidR="00DF67E4" w:rsidRPr="00D036F4" w:rsidRDefault="00D036F4" w:rsidP="00DD4D54">
            <w:pPr>
              <w:rPr>
                <w:sz w:val="18"/>
                <w:szCs w:val="18"/>
              </w:rPr>
            </w:pPr>
            <w:r w:rsidRPr="00D036F4">
              <w:rPr>
                <w:sz w:val="18"/>
                <w:szCs w:val="18"/>
              </w:rPr>
              <w:t>NaOH concentration</w:t>
            </w:r>
          </w:p>
        </w:tc>
        <w:tc>
          <w:tcPr>
            <w:tcW w:w="2880" w:type="dxa"/>
          </w:tcPr>
          <w:p w14:paraId="0A6A6AB6" w14:textId="77777777" w:rsidR="00DF67E4" w:rsidRPr="00D036F4" w:rsidRDefault="00DF67E4" w:rsidP="00DD4D54">
            <w:pPr>
              <w:rPr>
                <w:sz w:val="18"/>
                <w:szCs w:val="18"/>
              </w:rPr>
            </w:pPr>
            <w:r w:rsidRPr="00D036F4">
              <w:rPr>
                <w:sz w:val="18"/>
                <w:szCs w:val="18"/>
              </w:rPr>
              <w:t>%</w:t>
            </w:r>
          </w:p>
        </w:tc>
      </w:tr>
      <w:tr w:rsidR="00DF67E4" w:rsidRPr="00FF4B8A" w14:paraId="3A5A29B0" w14:textId="77777777" w:rsidTr="005117D7">
        <w:tc>
          <w:tcPr>
            <w:tcW w:w="2880" w:type="dxa"/>
          </w:tcPr>
          <w:p w14:paraId="3D7F3018" w14:textId="4693E6A4" w:rsidR="00DF67E4" w:rsidRPr="00D036F4" w:rsidRDefault="00DF67E4" w:rsidP="00DD4D54">
            <w:pPr>
              <w:rPr>
                <w:sz w:val="18"/>
                <w:szCs w:val="18"/>
              </w:rPr>
            </w:pPr>
            <w:r w:rsidRPr="00D036F4">
              <w:rPr>
                <w:sz w:val="18"/>
                <w:szCs w:val="18"/>
              </w:rPr>
              <w:t>Dependient</w:t>
            </w:r>
          </w:p>
        </w:tc>
        <w:tc>
          <w:tcPr>
            <w:tcW w:w="28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036F4" w:rsidRPr="00D036F4" w14:paraId="78782D72" w14:textId="77777777">
              <w:trPr>
                <w:tblCellSpacing w:w="15" w:type="dxa"/>
              </w:trPr>
              <w:tc>
                <w:tcPr>
                  <w:tcW w:w="0" w:type="auto"/>
                  <w:vAlign w:val="center"/>
                  <w:hideMark/>
                </w:tcPr>
                <w:p w14:paraId="739D66A8" w14:textId="77777777" w:rsidR="00D036F4" w:rsidRPr="00D036F4" w:rsidRDefault="00D036F4" w:rsidP="00D036F4">
                  <w:pPr>
                    <w:rPr>
                      <w:sz w:val="18"/>
                      <w:szCs w:val="18"/>
                      <w:lang w:val="es-PE"/>
                    </w:rPr>
                  </w:pPr>
                </w:p>
              </w:tc>
            </w:tr>
          </w:tbl>
          <w:p w14:paraId="35745657" w14:textId="77777777" w:rsidR="00D036F4" w:rsidRPr="00D036F4" w:rsidRDefault="00D036F4" w:rsidP="00D036F4">
            <w:pPr>
              <w:rPr>
                <w:vanish/>
                <w:sz w:val="18"/>
                <w:szCs w:val="18"/>
                <w:lang w:val="es-P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1"/>
            </w:tblGrid>
            <w:tr w:rsidR="00D036F4" w:rsidRPr="00D036F4" w14:paraId="50B0E839" w14:textId="77777777">
              <w:trPr>
                <w:tblCellSpacing w:w="15" w:type="dxa"/>
              </w:trPr>
              <w:tc>
                <w:tcPr>
                  <w:tcW w:w="0" w:type="auto"/>
                  <w:vAlign w:val="center"/>
                  <w:hideMark/>
                </w:tcPr>
                <w:p w14:paraId="4B211F0C" w14:textId="77777777" w:rsidR="00D036F4" w:rsidRPr="00D036F4" w:rsidRDefault="00D036F4" w:rsidP="00D036F4">
                  <w:pPr>
                    <w:rPr>
                      <w:sz w:val="18"/>
                      <w:szCs w:val="18"/>
                      <w:lang w:val="es-PE"/>
                    </w:rPr>
                  </w:pPr>
                  <w:r w:rsidRPr="00D036F4">
                    <w:rPr>
                      <w:sz w:val="18"/>
                      <w:szCs w:val="18"/>
                      <w:lang w:val="es-PE"/>
                    </w:rPr>
                    <w:t>Biodiesel yield</w:t>
                  </w:r>
                </w:p>
              </w:tc>
            </w:tr>
          </w:tbl>
          <w:p w14:paraId="5364EB19" w14:textId="2783951D" w:rsidR="00DF67E4" w:rsidRPr="00D036F4" w:rsidRDefault="00DF67E4" w:rsidP="00DD4D54">
            <w:pPr>
              <w:rPr>
                <w:sz w:val="18"/>
                <w:szCs w:val="18"/>
              </w:rPr>
            </w:pPr>
          </w:p>
        </w:tc>
        <w:tc>
          <w:tcPr>
            <w:tcW w:w="2880" w:type="dxa"/>
          </w:tcPr>
          <w:p w14:paraId="619C0AE0" w14:textId="77777777" w:rsidR="00DF67E4" w:rsidRPr="00D036F4" w:rsidRDefault="00DF67E4" w:rsidP="00DD4D54">
            <w:pPr>
              <w:rPr>
                <w:sz w:val="18"/>
                <w:szCs w:val="18"/>
              </w:rPr>
            </w:pPr>
            <w:r w:rsidRPr="00D036F4">
              <w:rPr>
                <w:sz w:val="18"/>
                <w:szCs w:val="18"/>
              </w:rPr>
              <w:t>%</w:t>
            </w:r>
          </w:p>
        </w:tc>
      </w:tr>
      <w:tr w:rsidR="00DF67E4" w:rsidRPr="00FF4B8A" w14:paraId="4049E9D2" w14:textId="77777777" w:rsidTr="005117D7">
        <w:tc>
          <w:tcPr>
            <w:tcW w:w="2880" w:type="dxa"/>
          </w:tcPr>
          <w:p w14:paraId="2FFE1783" w14:textId="1210B2B2" w:rsidR="00DF67E4" w:rsidRPr="00D036F4" w:rsidRDefault="00D036F4" w:rsidP="00DD4D54">
            <w:pPr>
              <w:rPr>
                <w:sz w:val="18"/>
                <w:szCs w:val="18"/>
              </w:rPr>
            </w:pPr>
            <w:r w:rsidRPr="00D036F4">
              <w:rPr>
                <w:sz w:val="18"/>
                <w:szCs w:val="18"/>
              </w:rPr>
              <w:t>Response</w:t>
            </w:r>
          </w:p>
        </w:tc>
        <w:tc>
          <w:tcPr>
            <w:tcW w:w="2880" w:type="dxa"/>
          </w:tcPr>
          <w:p w14:paraId="41D8B682" w14:textId="6563F1D2" w:rsidR="00DF67E4" w:rsidRPr="00D036F4" w:rsidRDefault="00D036F4" w:rsidP="00DD4D54">
            <w:pPr>
              <w:rPr>
                <w:sz w:val="18"/>
                <w:szCs w:val="18"/>
              </w:rPr>
            </w:pPr>
            <w:r w:rsidRPr="00D036F4">
              <w:rPr>
                <w:sz w:val="18"/>
                <w:szCs w:val="18"/>
              </w:rPr>
              <w:t>Kinematic viscosity</w:t>
            </w:r>
          </w:p>
        </w:tc>
        <w:tc>
          <w:tcPr>
            <w:tcW w:w="2880" w:type="dxa"/>
          </w:tcPr>
          <w:p w14:paraId="31DE82BA" w14:textId="77777777" w:rsidR="00DF67E4" w:rsidRPr="00D036F4" w:rsidRDefault="00DF67E4" w:rsidP="00DD4D54">
            <w:pPr>
              <w:rPr>
                <w:sz w:val="18"/>
                <w:szCs w:val="18"/>
              </w:rPr>
            </w:pPr>
            <w:r w:rsidRPr="00D036F4">
              <w:rPr>
                <w:sz w:val="18"/>
                <w:szCs w:val="18"/>
              </w:rPr>
              <w:t>mm²/s</w:t>
            </w:r>
          </w:p>
        </w:tc>
      </w:tr>
      <w:tr w:rsidR="00DF67E4" w:rsidRPr="00FF4B8A" w14:paraId="06DA7723" w14:textId="77777777" w:rsidTr="005117D7">
        <w:tc>
          <w:tcPr>
            <w:tcW w:w="2880" w:type="dxa"/>
          </w:tcPr>
          <w:p w14:paraId="6E9BE55E" w14:textId="3D814F65" w:rsidR="00DF67E4" w:rsidRPr="00D036F4" w:rsidRDefault="00D036F4" w:rsidP="00DD4D54">
            <w:pPr>
              <w:rPr>
                <w:sz w:val="18"/>
                <w:szCs w:val="18"/>
              </w:rPr>
            </w:pPr>
            <w:r w:rsidRPr="00D036F4">
              <w:rPr>
                <w:sz w:val="18"/>
                <w:szCs w:val="18"/>
              </w:rPr>
              <w:t>Response</w:t>
            </w:r>
          </w:p>
        </w:tc>
        <w:tc>
          <w:tcPr>
            <w:tcW w:w="2880" w:type="dxa"/>
          </w:tcPr>
          <w:p w14:paraId="6DBB3D4F" w14:textId="2A01069C" w:rsidR="00DF67E4" w:rsidRPr="00D036F4" w:rsidRDefault="00D036F4" w:rsidP="00DD4D54">
            <w:pPr>
              <w:rPr>
                <w:sz w:val="18"/>
                <w:szCs w:val="18"/>
              </w:rPr>
            </w:pPr>
            <w:r w:rsidRPr="00D036F4">
              <w:rPr>
                <w:sz w:val="18"/>
                <w:szCs w:val="18"/>
              </w:rPr>
              <w:t>Density</w:t>
            </w:r>
          </w:p>
        </w:tc>
        <w:tc>
          <w:tcPr>
            <w:tcW w:w="2880" w:type="dxa"/>
          </w:tcPr>
          <w:p w14:paraId="432BEAC6" w14:textId="77777777" w:rsidR="00DF67E4" w:rsidRPr="00D036F4" w:rsidRDefault="00DF67E4" w:rsidP="00DD4D54">
            <w:pPr>
              <w:rPr>
                <w:sz w:val="18"/>
                <w:szCs w:val="18"/>
              </w:rPr>
            </w:pPr>
            <w:r w:rsidRPr="00D036F4">
              <w:rPr>
                <w:sz w:val="18"/>
                <w:szCs w:val="18"/>
              </w:rPr>
              <w:t>kg/m³</w:t>
            </w:r>
          </w:p>
        </w:tc>
      </w:tr>
    </w:tbl>
    <w:p w14:paraId="38258CB2" w14:textId="77777777" w:rsidR="00EE21B5" w:rsidRPr="00EE21B5" w:rsidRDefault="00EE21B5" w:rsidP="00EE21B5">
      <w:pPr>
        <w:pStyle w:val="NormalWeb"/>
        <w:jc w:val="both"/>
        <w:rPr>
          <w:rFonts w:ascii="Arial" w:hAnsi="Arial" w:cs="Arial"/>
          <w:b/>
          <w:bCs/>
          <w:sz w:val="18"/>
          <w:szCs w:val="18"/>
          <w:lang w:val="en-US"/>
        </w:rPr>
      </w:pPr>
      <w:r w:rsidRPr="00EE21B5">
        <w:rPr>
          <w:rStyle w:val="Fuerte"/>
          <w:rFonts w:ascii="Arial" w:hAnsi="Arial" w:cs="Arial"/>
          <w:b w:val="0"/>
          <w:bCs w:val="0"/>
          <w:sz w:val="18"/>
          <w:szCs w:val="18"/>
          <w:lang w:val="en-US"/>
        </w:rPr>
        <w:t>Table 2 summarizes the variables considered in the experimental design. The independent variables were selected due to their direct influence on the transesterification reaction, while the response variables allowed the evaluation of the quality of the biodiesel obtained.</w:t>
      </w:r>
    </w:p>
    <w:p w14:paraId="139358FD" w14:textId="77777777" w:rsidR="00EE21B5" w:rsidRPr="00EE21B5" w:rsidRDefault="00EE21B5" w:rsidP="00EE21B5">
      <w:pPr>
        <w:pStyle w:val="NormalWeb"/>
        <w:jc w:val="both"/>
        <w:rPr>
          <w:rFonts w:ascii="Arial" w:hAnsi="Arial" w:cs="Arial"/>
          <w:b/>
          <w:bCs/>
          <w:sz w:val="18"/>
          <w:szCs w:val="18"/>
          <w:lang w:val="en-US"/>
        </w:rPr>
      </w:pPr>
      <w:r w:rsidRPr="00EE21B5">
        <w:rPr>
          <w:rStyle w:val="Fuerte"/>
          <w:rFonts w:ascii="Arial" w:hAnsi="Arial" w:cs="Arial"/>
          <w:b w:val="0"/>
          <w:bCs w:val="0"/>
          <w:sz w:val="18"/>
          <w:szCs w:val="18"/>
          <w:lang w:val="en-US"/>
        </w:rPr>
        <w:t>A full factorial 3² experimental design was employed, evaluating three levels of the methanol–oil molar ratio (9:1, 11:1, and 13:1) and three levels of NaOH concentration (0.5%, 0.7%, and 1.0%). In total, nine experimental treatments were carried out, each with three replicates.</w:t>
      </w:r>
    </w:p>
    <w:p w14:paraId="67A82CF9" w14:textId="37FCB12C" w:rsidR="00EE21B5" w:rsidRPr="00EE21B5" w:rsidRDefault="00EE21B5" w:rsidP="00EE21B5">
      <w:pPr>
        <w:pStyle w:val="NormalWeb"/>
        <w:jc w:val="both"/>
        <w:rPr>
          <w:rFonts w:ascii="Arial" w:hAnsi="Arial" w:cs="Arial"/>
          <w:b/>
          <w:bCs/>
          <w:sz w:val="18"/>
          <w:szCs w:val="18"/>
          <w:lang w:val="en-US"/>
        </w:rPr>
      </w:pPr>
      <w:r w:rsidRPr="00EE21B5">
        <w:rPr>
          <w:rStyle w:val="Fuerte"/>
          <w:rFonts w:ascii="Arial" w:hAnsi="Arial" w:cs="Arial"/>
          <w:b w:val="0"/>
          <w:bCs w:val="0"/>
          <w:sz w:val="18"/>
          <w:szCs w:val="18"/>
          <w:lang w:val="en-US"/>
        </w:rPr>
        <w:t>Statistical analysis of the results was performed using ANOVA, considering a significance level of p &lt; 0.05. The results showed statistically significant differences (p &lt; 0.05) among the evaluated treatments, confirming the influence of the methanol–oil molar ratio and NaOH concentration on biodiesel yield and properties.</w:t>
      </w:r>
    </w:p>
    <w:p w14:paraId="0D2B7EA1" w14:textId="03120661" w:rsidR="000F74DD" w:rsidRPr="00EE21B5" w:rsidRDefault="00EE21B5" w:rsidP="000F74DD">
      <w:pPr>
        <w:pStyle w:val="Descripcin"/>
        <w:keepNext/>
        <w:rPr>
          <w:color w:val="000000" w:themeColor="text1"/>
          <w:lang w:val="es-PE"/>
        </w:rPr>
      </w:pPr>
      <w:r w:rsidRPr="00EE21B5">
        <w:rPr>
          <w:color w:val="000000" w:themeColor="text1"/>
        </w:rPr>
        <w:t>Table 3. Optimal operating condition</w:t>
      </w:r>
    </w:p>
    <w:tbl>
      <w:tblPr>
        <w:tblW w:w="0" w:type="auto"/>
        <w:tblBorders>
          <w:top w:val="single" w:sz="4" w:space="0" w:color="auto"/>
          <w:bottom w:val="single" w:sz="4" w:space="0" w:color="auto"/>
        </w:tblBorders>
        <w:tblLook w:val="04A0" w:firstRow="1" w:lastRow="0" w:firstColumn="1" w:lastColumn="0" w:noHBand="0" w:noVBand="1"/>
      </w:tblPr>
      <w:tblGrid>
        <w:gridCol w:w="4320"/>
        <w:gridCol w:w="4320"/>
      </w:tblGrid>
      <w:tr w:rsidR="00DF67E4" w:rsidRPr="00FF4B8A" w14:paraId="35984D3B" w14:textId="77777777" w:rsidTr="000F74DD">
        <w:tc>
          <w:tcPr>
            <w:tcW w:w="4320" w:type="dxa"/>
            <w:tcBorders>
              <w:top w:val="single" w:sz="4" w:space="0" w:color="auto"/>
              <w:bottom w:val="single" w:sz="4" w:space="0" w:color="auto"/>
            </w:tcBorders>
          </w:tcPr>
          <w:p w14:paraId="79B53D6E" w14:textId="6BE742E9" w:rsidR="00DF67E4" w:rsidRPr="00CD7577" w:rsidRDefault="00EE21B5" w:rsidP="00DD4D54">
            <w:pPr>
              <w:rPr>
                <w:rFonts w:ascii="Times New Roman" w:eastAsia="Times New Roman" w:hAnsi="Times New Roman" w:cs="Times New Roman"/>
                <w:sz w:val="18"/>
                <w:szCs w:val="18"/>
              </w:rPr>
            </w:pPr>
            <w:r w:rsidRPr="00CD7577">
              <w:rPr>
                <w:sz w:val="18"/>
                <w:szCs w:val="18"/>
              </w:rPr>
              <w:t>Parameter</w:t>
            </w:r>
          </w:p>
        </w:tc>
        <w:tc>
          <w:tcPr>
            <w:tcW w:w="4320" w:type="dxa"/>
            <w:tcBorders>
              <w:top w:val="single" w:sz="4" w:space="0" w:color="auto"/>
              <w:bottom w:val="single" w:sz="4" w:space="0" w:color="auto"/>
            </w:tcBorders>
          </w:tcPr>
          <w:p w14:paraId="3902A59D" w14:textId="0D560864" w:rsidR="00DF67E4" w:rsidRPr="00CD7577" w:rsidRDefault="00CD7577" w:rsidP="00DD4D54">
            <w:pPr>
              <w:rPr>
                <w:sz w:val="18"/>
                <w:szCs w:val="18"/>
              </w:rPr>
            </w:pPr>
            <w:r w:rsidRPr="00CD7577">
              <w:rPr>
                <w:sz w:val="18"/>
                <w:szCs w:val="18"/>
              </w:rPr>
              <w:t>Value</w:t>
            </w:r>
          </w:p>
        </w:tc>
      </w:tr>
      <w:tr w:rsidR="00DF67E4" w:rsidRPr="00FF4B8A" w14:paraId="11426868" w14:textId="77777777" w:rsidTr="000F74DD">
        <w:tc>
          <w:tcPr>
            <w:tcW w:w="4320" w:type="dxa"/>
            <w:tcBorders>
              <w:top w:val="single" w:sz="4" w:space="0" w:color="auto"/>
            </w:tcBorders>
          </w:tcPr>
          <w:p w14:paraId="2ED79811" w14:textId="1BB42522" w:rsidR="00DF67E4" w:rsidRPr="00CD7577" w:rsidRDefault="00EE21B5" w:rsidP="00DD4D54">
            <w:pPr>
              <w:rPr>
                <w:sz w:val="18"/>
                <w:szCs w:val="18"/>
              </w:rPr>
            </w:pPr>
            <w:r w:rsidRPr="00CD7577">
              <w:rPr>
                <w:sz w:val="18"/>
                <w:szCs w:val="18"/>
              </w:rPr>
              <w:t>Methanol–oil molar ratio</w:t>
            </w:r>
          </w:p>
        </w:tc>
        <w:tc>
          <w:tcPr>
            <w:tcW w:w="4320" w:type="dxa"/>
            <w:tcBorders>
              <w:top w:val="single" w:sz="4" w:space="0" w:color="auto"/>
            </w:tcBorders>
          </w:tcPr>
          <w:p w14:paraId="1FF19088" w14:textId="77777777" w:rsidR="00DF67E4" w:rsidRPr="00CD7577" w:rsidRDefault="00DF67E4" w:rsidP="00DD4D54">
            <w:pPr>
              <w:rPr>
                <w:sz w:val="18"/>
                <w:szCs w:val="18"/>
              </w:rPr>
            </w:pPr>
            <w:r w:rsidRPr="00CD7577">
              <w:rPr>
                <w:sz w:val="18"/>
                <w:szCs w:val="18"/>
              </w:rPr>
              <w:t>11:1</w:t>
            </w:r>
          </w:p>
        </w:tc>
      </w:tr>
      <w:tr w:rsidR="00DF67E4" w:rsidRPr="00FF4B8A" w14:paraId="64927D8B" w14:textId="77777777" w:rsidTr="000F74DD">
        <w:tc>
          <w:tcPr>
            <w:tcW w:w="4320" w:type="dxa"/>
          </w:tcPr>
          <w:p w14:paraId="3BAC1DB2" w14:textId="2DE9EA86" w:rsidR="00DF67E4" w:rsidRPr="00CD7577" w:rsidRDefault="00EE21B5" w:rsidP="00DD4D54">
            <w:pPr>
              <w:rPr>
                <w:sz w:val="18"/>
                <w:szCs w:val="18"/>
              </w:rPr>
            </w:pPr>
            <w:r w:rsidRPr="00CD7577">
              <w:rPr>
                <w:sz w:val="18"/>
                <w:szCs w:val="18"/>
              </w:rPr>
              <w:t>NaOH concentration</w:t>
            </w:r>
          </w:p>
        </w:tc>
        <w:tc>
          <w:tcPr>
            <w:tcW w:w="4320" w:type="dxa"/>
          </w:tcPr>
          <w:p w14:paraId="54FC0D2E" w14:textId="77777777" w:rsidR="00DF67E4" w:rsidRPr="00CD7577" w:rsidRDefault="00DF67E4" w:rsidP="00DD4D54">
            <w:pPr>
              <w:rPr>
                <w:sz w:val="18"/>
                <w:szCs w:val="18"/>
              </w:rPr>
            </w:pPr>
            <w:r w:rsidRPr="00CD7577">
              <w:rPr>
                <w:sz w:val="18"/>
                <w:szCs w:val="18"/>
              </w:rPr>
              <w:t>0.7 %</w:t>
            </w:r>
          </w:p>
        </w:tc>
      </w:tr>
      <w:tr w:rsidR="00DF67E4" w:rsidRPr="00FF4B8A" w14:paraId="677FC993" w14:textId="77777777" w:rsidTr="000F74DD">
        <w:tc>
          <w:tcPr>
            <w:tcW w:w="4320" w:type="dxa"/>
          </w:tcPr>
          <w:p w14:paraId="62E7238C" w14:textId="2F08C437" w:rsidR="00DF67E4" w:rsidRPr="00CD7577" w:rsidRDefault="00CD7577" w:rsidP="00DD4D54">
            <w:pPr>
              <w:rPr>
                <w:sz w:val="18"/>
                <w:szCs w:val="18"/>
              </w:rPr>
            </w:pPr>
            <w:r w:rsidRPr="00CD7577">
              <w:rPr>
                <w:sz w:val="18"/>
                <w:szCs w:val="18"/>
              </w:rPr>
              <w:t>Biodiesel yield</w:t>
            </w:r>
          </w:p>
        </w:tc>
        <w:tc>
          <w:tcPr>
            <w:tcW w:w="4320" w:type="dxa"/>
          </w:tcPr>
          <w:p w14:paraId="584B9AD5" w14:textId="77777777" w:rsidR="00DF67E4" w:rsidRPr="00CD7577" w:rsidRDefault="00DF67E4" w:rsidP="00DD4D54">
            <w:pPr>
              <w:rPr>
                <w:sz w:val="18"/>
                <w:szCs w:val="18"/>
              </w:rPr>
            </w:pPr>
            <w:r w:rsidRPr="00CD7577">
              <w:rPr>
                <w:sz w:val="18"/>
                <w:szCs w:val="18"/>
              </w:rPr>
              <w:t>94.7 %</w:t>
            </w:r>
          </w:p>
        </w:tc>
      </w:tr>
    </w:tbl>
    <w:p w14:paraId="4503F999" w14:textId="77777777" w:rsidR="000F74DD" w:rsidRPr="00FF4B8A" w:rsidRDefault="000F74DD" w:rsidP="00DF67E4">
      <w:pPr>
        <w:rPr>
          <w:lang w:val="es-PE"/>
        </w:rPr>
      </w:pPr>
    </w:p>
    <w:p w14:paraId="378B170E" w14:textId="0CB2DD74" w:rsidR="00DF67E4" w:rsidRPr="00EE21B5" w:rsidRDefault="00EE21B5" w:rsidP="000F74DD">
      <w:pPr>
        <w:pStyle w:val="Descripcin"/>
        <w:keepNext/>
        <w:rPr>
          <w:color w:val="000000" w:themeColor="text1"/>
          <w:sz w:val="24"/>
        </w:rPr>
      </w:pPr>
      <w:r w:rsidRPr="00EE21B5">
        <w:rPr>
          <w:i w:val="0"/>
          <w:iCs w:val="0"/>
          <w:color w:val="000000" w:themeColor="text1"/>
        </w:rPr>
        <w:t>Table 3 shows the experimental condition that achieved the highest biodiesel yield, which was used as the reference for product characterization</w:t>
      </w:r>
      <w:r w:rsidRPr="00EE21B5">
        <w:rPr>
          <w:color w:val="000000" w:themeColor="text1"/>
          <w:sz w:val="24"/>
        </w:rPr>
        <w:t>.</w:t>
      </w:r>
    </w:p>
    <w:p w14:paraId="2ECEDA8F" w14:textId="5A7FB709" w:rsidR="000F74DD" w:rsidRPr="00CD7577" w:rsidRDefault="00CD7577" w:rsidP="000F74DD">
      <w:pPr>
        <w:pStyle w:val="Descripcin"/>
        <w:keepNext/>
        <w:rPr>
          <w:color w:val="000000" w:themeColor="text1"/>
          <w:lang w:val="es-PE"/>
        </w:rPr>
      </w:pPr>
      <w:r w:rsidRPr="00CD7577">
        <w:rPr>
          <w:color w:val="000000" w:themeColor="text1"/>
        </w:rPr>
        <w:t>Table 4. Biodiesel properties</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DF67E4" w:rsidRPr="00FF4B8A" w14:paraId="271D528F" w14:textId="77777777" w:rsidTr="000F74DD">
        <w:tc>
          <w:tcPr>
            <w:tcW w:w="2880" w:type="dxa"/>
            <w:tcBorders>
              <w:top w:val="single" w:sz="4" w:space="0" w:color="auto"/>
              <w:bottom w:val="single" w:sz="4" w:space="0" w:color="auto"/>
            </w:tcBorders>
          </w:tcPr>
          <w:p w14:paraId="6E00515F" w14:textId="0273402B" w:rsidR="00DF67E4" w:rsidRPr="00CD7577" w:rsidRDefault="00CD7577" w:rsidP="00DD4D54">
            <w:pPr>
              <w:rPr>
                <w:rFonts w:ascii="Times New Roman" w:eastAsia="Times New Roman" w:hAnsi="Times New Roman" w:cs="Times New Roman"/>
                <w:sz w:val="18"/>
                <w:szCs w:val="18"/>
              </w:rPr>
            </w:pPr>
            <w:r w:rsidRPr="00CD7577">
              <w:rPr>
                <w:sz w:val="18"/>
                <w:szCs w:val="18"/>
              </w:rPr>
              <w:t>Property</w:t>
            </w:r>
          </w:p>
        </w:tc>
        <w:tc>
          <w:tcPr>
            <w:tcW w:w="2880" w:type="dxa"/>
            <w:tcBorders>
              <w:top w:val="single" w:sz="4" w:space="0" w:color="auto"/>
              <w:bottom w:val="single" w:sz="4" w:space="0" w:color="auto"/>
            </w:tcBorders>
          </w:tcPr>
          <w:p w14:paraId="1D3E88D3" w14:textId="64BB14F1" w:rsidR="00DF67E4" w:rsidRPr="00CD7577" w:rsidRDefault="00DF67E4" w:rsidP="00DD4D54">
            <w:pPr>
              <w:rPr>
                <w:sz w:val="18"/>
                <w:szCs w:val="18"/>
              </w:rPr>
            </w:pPr>
            <w:r w:rsidRPr="00CD7577">
              <w:rPr>
                <w:sz w:val="18"/>
                <w:szCs w:val="18"/>
              </w:rPr>
              <w:t>Val</w:t>
            </w:r>
            <w:r w:rsidR="00CD7577" w:rsidRPr="00CD7577">
              <w:rPr>
                <w:sz w:val="18"/>
                <w:szCs w:val="18"/>
              </w:rPr>
              <w:t>ue</w:t>
            </w:r>
          </w:p>
        </w:tc>
        <w:tc>
          <w:tcPr>
            <w:tcW w:w="2880" w:type="dxa"/>
            <w:tcBorders>
              <w:top w:val="single" w:sz="4" w:space="0" w:color="auto"/>
              <w:bottom w:val="single" w:sz="4" w:space="0" w:color="auto"/>
            </w:tcBorders>
          </w:tcPr>
          <w:p w14:paraId="0313BBEE" w14:textId="0DF629CB" w:rsidR="00DF67E4" w:rsidRPr="00CD7577" w:rsidRDefault="00DF67E4" w:rsidP="00DD4D54">
            <w:pPr>
              <w:rPr>
                <w:sz w:val="18"/>
                <w:szCs w:val="18"/>
              </w:rPr>
            </w:pPr>
            <w:r w:rsidRPr="00CD7577">
              <w:rPr>
                <w:sz w:val="18"/>
                <w:szCs w:val="18"/>
              </w:rPr>
              <w:t>Uni</w:t>
            </w:r>
            <w:r w:rsidR="00CD7577">
              <w:rPr>
                <w:sz w:val="18"/>
                <w:szCs w:val="18"/>
              </w:rPr>
              <w:t>t</w:t>
            </w:r>
          </w:p>
        </w:tc>
      </w:tr>
      <w:tr w:rsidR="00DF67E4" w:rsidRPr="00FF4B8A" w14:paraId="1EC4C3BF" w14:textId="77777777" w:rsidTr="000F74DD">
        <w:tc>
          <w:tcPr>
            <w:tcW w:w="2880" w:type="dxa"/>
            <w:tcBorders>
              <w:top w:val="single" w:sz="4" w:space="0" w:color="auto"/>
            </w:tcBorders>
          </w:tcPr>
          <w:p w14:paraId="2AF4FB2A" w14:textId="5EC4B8B5" w:rsidR="00DF67E4" w:rsidRPr="00CD7577" w:rsidRDefault="00CD7577" w:rsidP="00DD4D54">
            <w:pPr>
              <w:rPr>
                <w:sz w:val="18"/>
                <w:szCs w:val="18"/>
              </w:rPr>
            </w:pPr>
            <w:r w:rsidRPr="00CD7577">
              <w:rPr>
                <w:sz w:val="18"/>
                <w:szCs w:val="18"/>
              </w:rPr>
              <w:t>Density</w:t>
            </w:r>
          </w:p>
        </w:tc>
        <w:tc>
          <w:tcPr>
            <w:tcW w:w="2880" w:type="dxa"/>
            <w:tcBorders>
              <w:top w:val="single" w:sz="4" w:space="0" w:color="auto"/>
            </w:tcBorders>
          </w:tcPr>
          <w:p w14:paraId="1354421E" w14:textId="77777777" w:rsidR="00DF67E4" w:rsidRPr="00CD7577" w:rsidRDefault="00DF67E4" w:rsidP="00DD4D54">
            <w:pPr>
              <w:rPr>
                <w:sz w:val="18"/>
                <w:szCs w:val="18"/>
              </w:rPr>
            </w:pPr>
            <w:r w:rsidRPr="00CD7577">
              <w:rPr>
                <w:sz w:val="18"/>
                <w:szCs w:val="18"/>
              </w:rPr>
              <w:t>873.9</w:t>
            </w:r>
          </w:p>
        </w:tc>
        <w:tc>
          <w:tcPr>
            <w:tcW w:w="2880" w:type="dxa"/>
            <w:tcBorders>
              <w:top w:val="single" w:sz="4" w:space="0" w:color="auto"/>
            </w:tcBorders>
          </w:tcPr>
          <w:p w14:paraId="227933CB" w14:textId="77777777" w:rsidR="00DF67E4" w:rsidRPr="00CD7577" w:rsidRDefault="00DF67E4" w:rsidP="00DD4D54">
            <w:pPr>
              <w:rPr>
                <w:sz w:val="18"/>
                <w:szCs w:val="18"/>
              </w:rPr>
            </w:pPr>
            <w:r w:rsidRPr="00CD7577">
              <w:rPr>
                <w:sz w:val="18"/>
                <w:szCs w:val="18"/>
              </w:rPr>
              <w:t>kg/m³</w:t>
            </w:r>
          </w:p>
        </w:tc>
      </w:tr>
      <w:tr w:rsidR="00DF67E4" w:rsidRPr="00FF4B8A" w14:paraId="4CEF497D" w14:textId="77777777" w:rsidTr="000F74DD">
        <w:tc>
          <w:tcPr>
            <w:tcW w:w="2880" w:type="dxa"/>
          </w:tcPr>
          <w:p w14:paraId="7D96376C" w14:textId="6CC01741" w:rsidR="00DF67E4" w:rsidRPr="00CD7577" w:rsidRDefault="00CD7577" w:rsidP="00DD4D54">
            <w:pPr>
              <w:rPr>
                <w:sz w:val="18"/>
                <w:szCs w:val="18"/>
              </w:rPr>
            </w:pPr>
            <w:r w:rsidRPr="00CD7577">
              <w:rPr>
                <w:sz w:val="18"/>
                <w:szCs w:val="18"/>
              </w:rPr>
              <w:t>Kinematic viscosity</w:t>
            </w:r>
          </w:p>
        </w:tc>
        <w:tc>
          <w:tcPr>
            <w:tcW w:w="2880" w:type="dxa"/>
          </w:tcPr>
          <w:p w14:paraId="06D91D8E" w14:textId="77777777" w:rsidR="00DF67E4" w:rsidRPr="00CD7577" w:rsidRDefault="00DF67E4" w:rsidP="00DD4D54">
            <w:pPr>
              <w:rPr>
                <w:sz w:val="18"/>
                <w:szCs w:val="18"/>
              </w:rPr>
            </w:pPr>
            <w:r w:rsidRPr="00CD7577">
              <w:rPr>
                <w:sz w:val="18"/>
                <w:szCs w:val="18"/>
              </w:rPr>
              <w:t>3.88</w:t>
            </w:r>
          </w:p>
        </w:tc>
        <w:tc>
          <w:tcPr>
            <w:tcW w:w="2880" w:type="dxa"/>
          </w:tcPr>
          <w:p w14:paraId="524F72AD" w14:textId="77777777" w:rsidR="00DF67E4" w:rsidRPr="00CD7577" w:rsidRDefault="00DF67E4" w:rsidP="00DD4D54">
            <w:pPr>
              <w:rPr>
                <w:sz w:val="18"/>
                <w:szCs w:val="18"/>
              </w:rPr>
            </w:pPr>
            <w:r w:rsidRPr="00CD7577">
              <w:rPr>
                <w:sz w:val="18"/>
                <w:szCs w:val="18"/>
              </w:rPr>
              <w:t>mm²/s</w:t>
            </w:r>
          </w:p>
        </w:tc>
      </w:tr>
      <w:tr w:rsidR="00DF67E4" w:rsidRPr="00FF4B8A" w14:paraId="2C285586" w14:textId="77777777" w:rsidTr="000F74DD">
        <w:tc>
          <w:tcPr>
            <w:tcW w:w="2880" w:type="dxa"/>
          </w:tcPr>
          <w:p w14:paraId="12E316CE" w14:textId="142F2278" w:rsidR="00DF67E4" w:rsidRPr="00CD7577" w:rsidRDefault="00CD7577" w:rsidP="00DD4D54">
            <w:pPr>
              <w:rPr>
                <w:sz w:val="18"/>
                <w:szCs w:val="18"/>
              </w:rPr>
            </w:pPr>
            <w:r w:rsidRPr="00CD7577">
              <w:rPr>
                <w:sz w:val="18"/>
                <w:szCs w:val="18"/>
              </w:rPr>
              <w:t>Acid value</w:t>
            </w:r>
          </w:p>
        </w:tc>
        <w:tc>
          <w:tcPr>
            <w:tcW w:w="2880" w:type="dxa"/>
          </w:tcPr>
          <w:p w14:paraId="2CEEA0DF" w14:textId="77777777" w:rsidR="00DF67E4" w:rsidRPr="00CD7577" w:rsidRDefault="00DF67E4" w:rsidP="00DD4D54">
            <w:pPr>
              <w:rPr>
                <w:sz w:val="18"/>
                <w:szCs w:val="18"/>
              </w:rPr>
            </w:pPr>
            <w:r w:rsidRPr="00CD7577">
              <w:rPr>
                <w:sz w:val="18"/>
                <w:szCs w:val="18"/>
              </w:rPr>
              <w:t>0.29</w:t>
            </w:r>
          </w:p>
        </w:tc>
        <w:tc>
          <w:tcPr>
            <w:tcW w:w="2880" w:type="dxa"/>
          </w:tcPr>
          <w:p w14:paraId="599E6227" w14:textId="77777777" w:rsidR="00DF67E4" w:rsidRPr="00CD7577" w:rsidRDefault="00DF67E4" w:rsidP="00DD4D54">
            <w:pPr>
              <w:rPr>
                <w:sz w:val="18"/>
                <w:szCs w:val="18"/>
              </w:rPr>
            </w:pPr>
            <w:r w:rsidRPr="00CD7577">
              <w:rPr>
                <w:sz w:val="18"/>
                <w:szCs w:val="18"/>
              </w:rPr>
              <w:t>mg KOH/g</w:t>
            </w:r>
          </w:p>
        </w:tc>
      </w:tr>
      <w:tr w:rsidR="00DF67E4" w:rsidRPr="00FF4B8A" w14:paraId="5EDA0231" w14:textId="77777777" w:rsidTr="000F74DD">
        <w:tc>
          <w:tcPr>
            <w:tcW w:w="2880" w:type="dxa"/>
          </w:tcPr>
          <w:p w14:paraId="2265C9FA" w14:textId="57F6D892" w:rsidR="00DF67E4" w:rsidRPr="00CD7577" w:rsidRDefault="00CD7577" w:rsidP="00DD4D54">
            <w:pPr>
              <w:rPr>
                <w:sz w:val="18"/>
                <w:szCs w:val="18"/>
              </w:rPr>
            </w:pPr>
            <w:r w:rsidRPr="00CD7577">
              <w:rPr>
                <w:sz w:val="18"/>
                <w:szCs w:val="18"/>
              </w:rPr>
              <w:t>Iodine value</w:t>
            </w:r>
          </w:p>
        </w:tc>
        <w:tc>
          <w:tcPr>
            <w:tcW w:w="2880" w:type="dxa"/>
          </w:tcPr>
          <w:p w14:paraId="36023C8F" w14:textId="77777777" w:rsidR="00DF67E4" w:rsidRPr="00CD7577" w:rsidRDefault="00DF67E4" w:rsidP="00DD4D54">
            <w:pPr>
              <w:rPr>
                <w:sz w:val="18"/>
                <w:szCs w:val="18"/>
              </w:rPr>
            </w:pPr>
            <w:r w:rsidRPr="00CD7577">
              <w:rPr>
                <w:sz w:val="18"/>
                <w:szCs w:val="18"/>
              </w:rPr>
              <w:t>53.4</w:t>
            </w:r>
          </w:p>
        </w:tc>
        <w:tc>
          <w:tcPr>
            <w:tcW w:w="2880" w:type="dxa"/>
          </w:tcPr>
          <w:p w14:paraId="0EDA1165" w14:textId="77777777" w:rsidR="00DF67E4" w:rsidRPr="00CD7577" w:rsidRDefault="00DF67E4" w:rsidP="00DD4D54">
            <w:pPr>
              <w:rPr>
                <w:sz w:val="18"/>
                <w:szCs w:val="18"/>
              </w:rPr>
            </w:pPr>
            <w:r w:rsidRPr="00CD7577">
              <w:rPr>
                <w:sz w:val="18"/>
                <w:szCs w:val="18"/>
              </w:rPr>
              <w:t>g I</w:t>
            </w:r>
            <w:r w:rsidRPr="00CD7577">
              <w:rPr>
                <w:rFonts w:ascii="Cambria Math" w:hAnsi="Cambria Math" w:cs="Cambria Math"/>
                <w:sz w:val="18"/>
                <w:szCs w:val="18"/>
              </w:rPr>
              <w:t>₂</w:t>
            </w:r>
            <w:r w:rsidRPr="00CD7577">
              <w:rPr>
                <w:sz w:val="18"/>
                <w:szCs w:val="18"/>
              </w:rPr>
              <w:t>/100 g</w:t>
            </w:r>
          </w:p>
        </w:tc>
      </w:tr>
      <w:tr w:rsidR="00DF67E4" w:rsidRPr="00FF4B8A" w14:paraId="744C4201" w14:textId="77777777" w:rsidTr="000F74DD">
        <w:tc>
          <w:tcPr>
            <w:tcW w:w="2880" w:type="dxa"/>
          </w:tcPr>
          <w:p w14:paraId="6C92FBF9" w14:textId="5064C85C" w:rsidR="00DF67E4" w:rsidRPr="00CD7577" w:rsidRDefault="00CD7577" w:rsidP="00DD4D54">
            <w:pPr>
              <w:rPr>
                <w:sz w:val="18"/>
                <w:szCs w:val="18"/>
              </w:rPr>
            </w:pPr>
            <w:r w:rsidRPr="00CD7577">
              <w:rPr>
                <w:sz w:val="18"/>
                <w:szCs w:val="18"/>
              </w:rPr>
              <w:t>Higher heating value</w:t>
            </w:r>
          </w:p>
        </w:tc>
        <w:tc>
          <w:tcPr>
            <w:tcW w:w="2880" w:type="dxa"/>
          </w:tcPr>
          <w:p w14:paraId="5DD9680E" w14:textId="77777777" w:rsidR="00DF67E4" w:rsidRPr="00CD7577" w:rsidRDefault="00DF67E4" w:rsidP="00DD4D54">
            <w:pPr>
              <w:rPr>
                <w:sz w:val="18"/>
                <w:szCs w:val="18"/>
              </w:rPr>
            </w:pPr>
            <w:r w:rsidRPr="00CD7577">
              <w:rPr>
                <w:sz w:val="18"/>
                <w:szCs w:val="18"/>
              </w:rPr>
              <w:t>38.9</w:t>
            </w:r>
          </w:p>
        </w:tc>
        <w:tc>
          <w:tcPr>
            <w:tcW w:w="2880" w:type="dxa"/>
          </w:tcPr>
          <w:p w14:paraId="7879D0CD" w14:textId="77777777" w:rsidR="00DF67E4" w:rsidRPr="00CD7577" w:rsidRDefault="00DF67E4" w:rsidP="00DD4D54">
            <w:pPr>
              <w:rPr>
                <w:sz w:val="18"/>
                <w:szCs w:val="18"/>
              </w:rPr>
            </w:pPr>
            <w:r w:rsidRPr="00CD7577">
              <w:rPr>
                <w:sz w:val="18"/>
                <w:szCs w:val="18"/>
              </w:rPr>
              <w:t>MJ/kg</w:t>
            </w:r>
          </w:p>
        </w:tc>
      </w:tr>
      <w:tr w:rsidR="00DF67E4" w:rsidRPr="00FF4B8A" w14:paraId="0EED6965" w14:textId="77777777" w:rsidTr="000F74DD">
        <w:tc>
          <w:tcPr>
            <w:tcW w:w="2880" w:type="dxa"/>
          </w:tcPr>
          <w:p w14:paraId="2C8D122E" w14:textId="6C5B60E1" w:rsidR="00CD7577" w:rsidRPr="00CD7577" w:rsidRDefault="00CD7577" w:rsidP="00DD4D54">
            <w:pPr>
              <w:rPr>
                <w:sz w:val="18"/>
                <w:szCs w:val="18"/>
              </w:rPr>
            </w:pPr>
            <w:r w:rsidRPr="00CD7577">
              <w:rPr>
                <w:sz w:val="18"/>
                <w:szCs w:val="18"/>
              </w:rPr>
              <w:t>Oxidative stability</w:t>
            </w:r>
          </w:p>
        </w:tc>
        <w:tc>
          <w:tcPr>
            <w:tcW w:w="2880" w:type="dxa"/>
          </w:tcPr>
          <w:p w14:paraId="3AFF4541" w14:textId="77777777" w:rsidR="00DF67E4" w:rsidRPr="00CD7577" w:rsidRDefault="00DF67E4" w:rsidP="00DD4D54">
            <w:pPr>
              <w:rPr>
                <w:sz w:val="18"/>
                <w:szCs w:val="18"/>
              </w:rPr>
            </w:pPr>
            <w:r w:rsidRPr="00CD7577">
              <w:rPr>
                <w:sz w:val="18"/>
                <w:szCs w:val="18"/>
              </w:rPr>
              <w:t>7.2</w:t>
            </w:r>
          </w:p>
        </w:tc>
        <w:tc>
          <w:tcPr>
            <w:tcW w:w="2880" w:type="dxa"/>
          </w:tcPr>
          <w:p w14:paraId="6E10A095" w14:textId="77777777" w:rsidR="00DF67E4" w:rsidRPr="00CD7577" w:rsidRDefault="00DF67E4" w:rsidP="00DD4D54">
            <w:pPr>
              <w:rPr>
                <w:sz w:val="18"/>
                <w:szCs w:val="18"/>
              </w:rPr>
            </w:pPr>
            <w:r w:rsidRPr="00CD7577">
              <w:rPr>
                <w:sz w:val="18"/>
                <w:szCs w:val="18"/>
              </w:rPr>
              <w:t>h</w:t>
            </w:r>
          </w:p>
        </w:tc>
      </w:tr>
      <w:tr w:rsidR="00DF67E4" w:rsidRPr="00FF4B8A" w14:paraId="42AFF77F" w14:textId="77777777" w:rsidTr="000F74DD">
        <w:tc>
          <w:tcPr>
            <w:tcW w:w="2880" w:type="dxa"/>
          </w:tcPr>
          <w:p w14:paraId="44F10582" w14:textId="6577D1D5" w:rsidR="00DF67E4" w:rsidRPr="00CD7577" w:rsidRDefault="00CD7577" w:rsidP="00DD4D54">
            <w:pPr>
              <w:rPr>
                <w:sz w:val="18"/>
                <w:szCs w:val="18"/>
              </w:rPr>
            </w:pPr>
            <w:r w:rsidRPr="00CD7577">
              <w:rPr>
                <w:sz w:val="18"/>
                <w:szCs w:val="18"/>
              </w:rPr>
              <w:t>Flash point</w:t>
            </w:r>
          </w:p>
        </w:tc>
        <w:tc>
          <w:tcPr>
            <w:tcW w:w="2880" w:type="dxa"/>
          </w:tcPr>
          <w:p w14:paraId="6D6D2072" w14:textId="77777777" w:rsidR="00DF67E4" w:rsidRPr="00CD7577" w:rsidRDefault="00DF67E4" w:rsidP="00DD4D54">
            <w:pPr>
              <w:rPr>
                <w:sz w:val="18"/>
                <w:szCs w:val="18"/>
              </w:rPr>
            </w:pPr>
            <w:r w:rsidRPr="00CD7577">
              <w:rPr>
                <w:sz w:val="18"/>
                <w:szCs w:val="18"/>
              </w:rPr>
              <w:t>162</w:t>
            </w:r>
          </w:p>
        </w:tc>
        <w:tc>
          <w:tcPr>
            <w:tcW w:w="2880" w:type="dxa"/>
          </w:tcPr>
          <w:p w14:paraId="0E82958D" w14:textId="77777777" w:rsidR="00DF67E4" w:rsidRPr="00CD7577" w:rsidRDefault="00DF67E4" w:rsidP="00DD4D54">
            <w:pPr>
              <w:rPr>
                <w:sz w:val="18"/>
                <w:szCs w:val="18"/>
              </w:rPr>
            </w:pPr>
            <w:r w:rsidRPr="00CD7577">
              <w:rPr>
                <w:sz w:val="18"/>
                <w:szCs w:val="18"/>
              </w:rPr>
              <w:t>°C</w:t>
            </w:r>
          </w:p>
        </w:tc>
      </w:tr>
      <w:tr w:rsidR="00DF67E4" w:rsidRPr="00FF4B8A" w14:paraId="54CDFB8F" w14:textId="77777777" w:rsidTr="000F74DD">
        <w:tc>
          <w:tcPr>
            <w:tcW w:w="2880" w:type="dxa"/>
          </w:tcPr>
          <w:p w14:paraId="73B6A298" w14:textId="35C8B697" w:rsidR="00DF67E4" w:rsidRPr="00CD7577" w:rsidRDefault="00CD7577" w:rsidP="00DD4D54">
            <w:pPr>
              <w:rPr>
                <w:sz w:val="18"/>
                <w:szCs w:val="18"/>
              </w:rPr>
            </w:pPr>
            <w:r w:rsidRPr="00CD7577">
              <w:rPr>
                <w:sz w:val="18"/>
                <w:szCs w:val="18"/>
              </w:rPr>
              <w:t>Cloud point</w:t>
            </w:r>
          </w:p>
        </w:tc>
        <w:tc>
          <w:tcPr>
            <w:tcW w:w="2880" w:type="dxa"/>
          </w:tcPr>
          <w:p w14:paraId="40888ACB" w14:textId="77777777" w:rsidR="00DF67E4" w:rsidRPr="00CD7577" w:rsidRDefault="00DF67E4" w:rsidP="00DD4D54">
            <w:pPr>
              <w:rPr>
                <w:sz w:val="18"/>
                <w:szCs w:val="18"/>
              </w:rPr>
            </w:pPr>
            <w:r w:rsidRPr="00CD7577">
              <w:rPr>
                <w:sz w:val="18"/>
                <w:szCs w:val="18"/>
              </w:rPr>
              <w:t>13</w:t>
            </w:r>
          </w:p>
        </w:tc>
        <w:tc>
          <w:tcPr>
            <w:tcW w:w="2880" w:type="dxa"/>
          </w:tcPr>
          <w:p w14:paraId="51416509" w14:textId="77777777" w:rsidR="00DF67E4" w:rsidRPr="00CD7577" w:rsidRDefault="00DF67E4" w:rsidP="00DD4D54">
            <w:pPr>
              <w:rPr>
                <w:sz w:val="18"/>
                <w:szCs w:val="18"/>
              </w:rPr>
            </w:pPr>
            <w:r w:rsidRPr="00CD7577">
              <w:rPr>
                <w:sz w:val="18"/>
                <w:szCs w:val="18"/>
              </w:rPr>
              <w:t>°C</w:t>
            </w:r>
          </w:p>
        </w:tc>
      </w:tr>
      <w:tr w:rsidR="00DF67E4" w:rsidRPr="00FF4B8A" w14:paraId="7F5FDFDE" w14:textId="77777777" w:rsidTr="000F74DD">
        <w:tc>
          <w:tcPr>
            <w:tcW w:w="2880" w:type="dxa"/>
          </w:tcPr>
          <w:p w14:paraId="7D388F5C" w14:textId="73935B52" w:rsidR="00DF67E4" w:rsidRPr="00CD7577" w:rsidRDefault="00CD7577" w:rsidP="00DD4D54">
            <w:pPr>
              <w:rPr>
                <w:sz w:val="18"/>
                <w:szCs w:val="18"/>
              </w:rPr>
            </w:pPr>
            <w:r w:rsidRPr="00CD7577">
              <w:rPr>
                <w:sz w:val="18"/>
                <w:szCs w:val="18"/>
              </w:rPr>
              <w:t>Pour point</w:t>
            </w:r>
          </w:p>
        </w:tc>
        <w:tc>
          <w:tcPr>
            <w:tcW w:w="2880" w:type="dxa"/>
          </w:tcPr>
          <w:p w14:paraId="7DE0CAA2" w14:textId="77777777" w:rsidR="00DF67E4" w:rsidRPr="00CD7577" w:rsidRDefault="00DF67E4" w:rsidP="00DD4D54">
            <w:pPr>
              <w:rPr>
                <w:sz w:val="18"/>
                <w:szCs w:val="18"/>
              </w:rPr>
            </w:pPr>
            <w:r w:rsidRPr="00CD7577">
              <w:rPr>
                <w:sz w:val="18"/>
                <w:szCs w:val="18"/>
              </w:rPr>
              <w:t>11</w:t>
            </w:r>
          </w:p>
        </w:tc>
        <w:tc>
          <w:tcPr>
            <w:tcW w:w="2880" w:type="dxa"/>
          </w:tcPr>
          <w:p w14:paraId="33CA9FC4" w14:textId="77777777" w:rsidR="00DF67E4" w:rsidRPr="00CD7577" w:rsidRDefault="00DF67E4" w:rsidP="00DD4D54">
            <w:pPr>
              <w:rPr>
                <w:sz w:val="18"/>
                <w:szCs w:val="18"/>
              </w:rPr>
            </w:pPr>
            <w:r w:rsidRPr="00CD7577">
              <w:rPr>
                <w:sz w:val="18"/>
                <w:szCs w:val="18"/>
              </w:rPr>
              <w:t>°C</w:t>
            </w:r>
          </w:p>
        </w:tc>
      </w:tr>
    </w:tbl>
    <w:p w14:paraId="224A23CB" w14:textId="77777777" w:rsidR="00CD7577" w:rsidRDefault="00CD7577" w:rsidP="00DF67E4">
      <w:pPr>
        <w:rPr>
          <w:lang w:val="es-PE"/>
        </w:rPr>
      </w:pPr>
    </w:p>
    <w:p w14:paraId="68DA2596" w14:textId="77777777" w:rsidR="00CD7577" w:rsidRPr="00CD7577" w:rsidRDefault="00CD7577" w:rsidP="00CD7577">
      <w:pPr>
        <w:jc w:val="both"/>
        <w:rPr>
          <w:sz w:val="18"/>
          <w:szCs w:val="18"/>
        </w:rPr>
      </w:pPr>
      <w:r w:rsidRPr="00CD7577">
        <w:rPr>
          <w:sz w:val="18"/>
          <w:szCs w:val="18"/>
        </w:rPr>
        <w:t>Table 4 presents the physicochemical, energetic, and thermal properties of the biodiesel obtained under optimal conditions, allowing the evaluation of its quality and performance as an alternative fuel.</w:t>
      </w:r>
    </w:p>
    <w:p w14:paraId="13E0D478" w14:textId="77777777" w:rsidR="00CD7577" w:rsidRPr="00CD7577" w:rsidRDefault="00CD7577" w:rsidP="00CD7577">
      <w:pPr>
        <w:jc w:val="both"/>
        <w:rPr>
          <w:sz w:val="18"/>
          <w:szCs w:val="18"/>
        </w:rPr>
      </w:pPr>
      <w:r w:rsidRPr="00CD7577">
        <w:rPr>
          <w:sz w:val="18"/>
          <w:szCs w:val="18"/>
        </w:rPr>
        <w:t>The obtained values of density and kinematic viscosity fall within the ranges reported in the literature for biodiesel derived from palm oil, indicating suitable performance as a fuel. Likewise, the acid value and iodine value demonstrate adequate chemical stability of the biodiesel, which is consistent with reaction conditions that favor efficient conversion of triglycerides.</w:t>
      </w:r>
    </w:p>
    <w:p w14:paraId="3343C56E" w14:textId="77777777" w:rsidR="00CD7577" w:rsidRPr="00CD7577" w:rsidRDefault="00CD7577" w:rsidP="00CD7577">
      <w:pPr>
        <w:jc w:val="both"/>
        <w:rPr>
          <w:sz w:val="18"/>
          <w:szCs w:val="18"/>
        </w:rPr>
      </w:pPr>
      <w:r w:rsidRPr="00CD7577">
        <w:rPr>
          <w:sz w:val="18"/>
          <w:szCs w:val="18"/>
        </w:rPr>
        <w:t>The obtained values comply with international biodiesel standards, such as ASTM D6751 and EN 14214. In particular, the kinematic viscosity (3.88 mm²/s) and density (873.9 kg/m³) fall within the permissible ranges, validating the quality of the produced biofuel. Furthermore, the acid value is below the maximum limit of 0.5 mg KOH/g established by these standards, indicating adequate chemical stability of the biodiesel.</w:t>
      </w:r>
    </w:p>
    <w:p w14:paraId="49F9CB87" w14:textId="77777777" w:rsidR="00CD7577" w:rsidRPr="00CD7577" w:rsidRDefault="00CD7577" w:rsidP="00CD7577">
      <w:pPr>
        <w:jc w:val="both"/>
        <w:rPr>
          <w:sz w:val="18"/>
          <w:szCs w:val="18"/>
        </w:rPr>
      </w:pPr>
      <w:r w:rsidRPr="00CD7577">
        <w:rPr>
          <w:sz w:val="18"/>
          <w:szCs w:val="18"/>
        </w:rPr>
        <w:t>The results are consistent with previous studies reporting yields above 90% in alkaline transesterification processes using palm oil (Atabani et al., 2012). However, the yield achieved in this study (94.7%) is slightly higher, which may be attributed to the optimization of the molar ratio and catalyst concentration.</w:t>
      </w:r>
    </w:p>
    <w:p w14:paraId="0F01C739" w14:textId="77777777" w:rsidR="00CD7577" w:rsidRPr="00CD7577" w:rsidRDefault="00CD7577" w:rsidP="00CD7577">
      <w:pPr>
        <w:jc w:val="both"/>
        <w:rPr>
          <w:sz w:val="18"/>
          <w:szCs w:val="18"/>
        </w:rPr>
      </w:pPr>
      <w:r w:rsidRPr="00CD7577">
        <w:rPr>
          <w:sz w:val="18"/>
          <w:szCs w:val="18"/>
        </w:rPr>
        <w:t>In terms of viscosity, the obtained values are comparable to those reported by Knothe (2010), confirming that the produced biodiesel exhibits suitable properties for use in diesel engines without modification.</w:t>
      </w:r>
    </w:p>
    <w:p w14:paraId="52448CA1" w14:textId="77777777" w:rsidR="00CD7577" w:rsidRPr="00CD7577" w:rsidRDefault="00CD7577" w:rsidP="00CD7577">
      <w:pPr>
        <w:jc w:val="both"/>
        <w:rPr>
          <w:sz w:val="18"/>
          <w:szCs w:val="18"/>
        </w:rPr>
      </w:pPr>
      <w:r w:rsidRPr="00CD7577">
        <w:rPr>
          <w:sz w:val="18"/>
          <w:szCs w:val="18"/>
        </w:rPr>
        <w:t xml:space="preserve">The observed behavior can be explained by the direct influence of catalyst concentration on reaction rate and </w:t>
      </w:r>
      <w:r w:rsidRPr="00CD7577">
        <w:rPr>
          <w:sz w:val="18"/>
          <w:szCs w:val="18"/>
        </w:rPr>
        <w:lastRenderedPageBreak/>
        <w:t>the formation of secondary products. At optimal NaOH concentrations (0.7%), the conversion of triglycerides into methyl esters is favored; however, higher concentrations may promote saponification reactions, reducing the effective biodiesel yield.</w:t>
      </w:r>
    </w:p>
    <w:p w14:paraId="2AD3DBCC" w14:textId="77777777" w:rsidR="00CD7577" w:rsidRPr="00CD7577" w:rsidRDefault="00CD7577" w:rsidP="00CD7577">
      <w:pPr>
        <w:jc w:val="both"/>
        <w:rPr>
          <w:sz w:val="18"/>
          <w:szCs w:val="18"/>
        </w:rPr>
      </w:pPr>
      <w:r w:rsidRPr="00CD7577">
        <w:rPr>
          <w:sz w:val="18"/>
          <w:szCs w:val="18"/>
        </w:rPr>
        <w:t>Similarly, the methanol–oil molar ratio influences the equilibrium of the transesterification reaction, where higher ratios shift the reaction toward biodiesel formation, although excessive amounts may hinder phase separation.</w:t>
      </w:r>
    </w:p>
    <w:p w14:paraId="6DDA78F4" w14:textId="77777777" w:rsidR="00CD7577" w:rsidRPr="00CD7577" w:rsidRDefault="00CD7577" w:rsidP="00DF67E4"/>
    <w:p w14:paraId="368CFAFA" w14:textId="77777777" w:rsidR="00CD7577" w:rsidRPr="00CD7577" w:rsidRDefault="00CD7577" w:rsidP="00CD7577">
      <w:pPr>
        <w:pStyle w:val="Ttulo2"/>
        <w:jc w:val="both"/>
        <w:rPr>
          <w:rFonts w:ascii="Times New Roman" w:eastAsia="Times New Roman" w:hAnsi="Times New Roman" w:cs="Times New Roman"/>
          <w:b/>
          <w:bCs/>
          <w:color w:val="auto"/>
          <w:sz w:val="20"/>
          <w:szCs w:val="20"/>
          <w:lang w:eastAsia="es-PE"/>
        </w:rPr>
      </w:pPr>
      <w:r w:rsidRPr="00CD7577">
        <w:rPr>
          <w:b/>
          <w:bCs/>
          <w:sz w:val="20"/>
          <w:szCs w:val="20"/>
        </w:rPr>
        <w:t xml:space="preserve">4. </w:t>
      </w:r>
      <w:r w:rsidRPr="00CD7577">
        <w:rPr>
          <w:rFonts w:ascii="Times New Roman" w:eastAsia="Times New Roman" w:hAnsi="Times New Roman" w:cs="Times New Roman"/>
          <w:b/>
          <w:bCs/>
          <w:color w:val="auto"/>
          <w:sz w:val="20"/>
          <w:szCs w:val="20"/>
          <w:lang w:eastAsia="es-PE"/>
        </w:rPr>
        <w:t>Conclusions</w:t>
      </w:r>
    </w:p>
    <w:p w14:paraId="59850AD5" w14:textId="77777777" w:rsidR="00CD7577" w:rsidRPr="00CD7577" w:rsidRDefault="00CD7577" w:rsidP="00D53CBE">
      <w:pPr>
        <w:widowControl/>
        <w:autoSpaceDE/>
        <w:autoSpaceDN/>
        <w:jc w:val="both"/>
        <w:rPr>
          <w:rFonts w:ascii="Arial" w:eastAsia="Times New Roman" w:hAnsi="Arial" w:cs="Arial"/>
          <w:sz w:val="18"/>
          <w:szCs w:val="18"/>
          <w:lang w:eastAsia="es-PE"/>
        </w:rPr>
      </w:pPr>
      <w:r w:rsidRPr="00CD7577">
        <w:rPr>
          <w:rFonts w:ascii="Arial" w:eastAsia="Times New Roman" w:hAnsi="Arial" w:cs="Arial"/>
          <w:sz w:val="18"/>
          <w:szCs w:val="18"/>
          <w:lang w:eastAsia="es-PE"/>
        </w:rPr>
        <w:t>The results obtained demonstrate that the control of alkaline catalysis conditions plays a decisive role in the yield and quality properties of biodiesel produced from crude palm oil (</w:t>
      </w:r>
      <w:r w:rsidRPr="00CD7577">
        <w:rPr>
          <w:rFonts w:ascii="Arial" w:eastAsia="Times New Roman" w:hAnsi="Arial" w:cs="Arial"/>
          <w:i/>
          <w:iCs/>
          <w:sz w:val="18"/>
          <w:szCs w:val="18"/>
          <w:lang w:eastAsia="es-PE"/>
        </w:rPr>
        <w:t>Elaeis guineensis</w:t>
      </w:r>
      <w:r w:rsidRPr="00CD7577">
        <w:rPr>
          <w:rFonts w:ascii="Arial" w:eastAsia="Times New Roman" w:hAnsi="Arial" w:cs="Arial"/>
          <w:sz w:val="18"/>
          <w:szCs w:val="18"/>
          <w:lang w:eastAsia="es-PE"/>
        </w:rPr>
        <w:t>) in the Ucayali region. The optimization of process parameters made it possible to identify an efficient operating condition, corresponding to a methanol–oil molar ratio of 11:1 and a catalyst concentration of 0.7% NaOH, under which a biodiesel yield of 94.7% was achieved.</w:t>
      </w:r>
    </w:p>
    <w:p w14:paraId="5FFD6831" w14:textId="77777777" w:rsidR="00CD7577" w:rsidRPr="00CD7577" w:rsidRDefault="00CD7577" w:rsidP="00D53CBE">
      <w:pPr>
        <w:widowControl/>
        <w:autoSpaceDE/>
        <w:autoSpaceDN/>
        <w:jc w:val="both"/>
        <w:rPr>
          <w:rFonts w:ascii="Arial" w:eastAsia="Times New Roman" w:hAnsi="Arial" w:cs="Arial"/>
          <w:sz w:val="18"/>
          <w:szCs w:val="18"/>
          <w:lang w:eastAsia="es-PE"/>
        </w:rPr>
      </w:pPr>
      <w:r w:rsidRPr="00CD7577">
        <w:rPr>
          <w:rFonts w:ascii="Arial" w:eastAsia="Times New Roman" w:hAnsi="Arial" w:cs="Arial"/>
          <w:sz w:val="18"/>
          <w:szCs w:val="18"/>
          <w:lang w:eastAsia="es-PE"/>
        </w:rPr>
        <w:t>The biodiesel produced under these conditions exhibited suitable physicochemical properties, evidenced by a density of 873.9 kg/m³ and a kinematic viscosity of 3.88 mm²/s, values that fall within ranges compatible with its use as an alternative diesel fuel. Likewise, the acid value of 0.29 mg KOH/g and the iodine value of 53.4 g I</w:t>
      </w:r>
      <w:r w:rsidRPr="00CD7577">
        <w:rPr>
          <w:rFonts w:ascii="Cambria Math" w:eastAsia="Times New Roman" w:hAnsi="Cambria Math" w:cs="Cambria Math"/>
          <w:sz w:val="18"/>
          <w:szCs w:val="18"/>
          <w:lang w:eastAsia="es-PE"/>
        </w:rPr>
        <w:t>₂</w:t>
      </w:r>
      <w:r w:rsidRPr="00CD7577">
        <w:rPr>
          <w:rFonts w:ascii="Arial" w:eastAsia="Times New Roman" w:hAnsi="Arial" w:cs="Arial"/>
          <w:sz w:val="18"/>
          <w:szCs w:val="18"/>
          <w:lang w:eastAsia="es-PE"/>
        </w:rPr>
        <w:t>/100 g reflect adequate chemical stability and a favorable degree of unsaturation.</w:t>
      </w:r>
    </w:p>
    <w:p w14:paraId="1792FF56" w14:textId="77777777" w:rsidR="00CD7577" w:rsidRPr="00CD7577" w:rsidRDefault="00CD7577" w:rsidP="00D53CBE">
      <w:pPr>
        <w:widowControl/>
        <w:autoSpaceDE/>
        <w:autoSpaceDN/>
        <w:jc w:val="both"/>
        <w:rPr>
          <w:rFonts w:ascii="Arial" w:eastAsia="Times New Roman" w:hAnsi="Arial" w:cs="Arial"/>
          <w:sz w:val="18"/>
          <w:szCs w:val="18"/>
          <w:lang w:eastAsia="es-PE"/>
        </w:rPr>
      </w:pPr>
      <w:r w:rsidRPr="00CD7577">
        <w:rPr>
          <w:rFonts w:ascii="Arial" w:eastAsia="Times New Roman" w:hAnsi="Arial" w:cs="Arial"/>
          <w:sz w:val="18"/>
          <w:szCs w:val="18"/>
          <w:lang w:eastAsia="es-PE"/>
        </w:rPr>
        <w:t>From an energy perspective, the biodiesel obtained showed a higher heating value of 38.9 MJ/kg and an oxidative stability of 7.2 h, confirming its energy efficiency and its ability to be stored without accelerated degradation. The flash point of 162 °C indicates safe conditions for handling and transportation.</w:t>
      </w:r>
    </w:p>
    <w:p w14:paraId="7D5A506B" w14:textId="77777777" w:rsidR="00CD7577" w:rsidRPr="00CD7577" w:rsidRDefault="00CD7577" w:rsidP="00D53CBE">
      <w:pPr>
        <w:widowControl/>
        <w:autoSpaceDE/>
        <w:autoSpaceDN/>
        <w:jc w:val="both"/>
        <w:rPr>
          <w:rFonts w:ascii="Arial" w:eastAsia="Times New Roman" w:hAnsi="Arial" w:cs="Arial"/>
          <w:sz w:val="18"/>
          <w:szCs w:val="18"/>
          <w:lang w:eastAsia="es-PE"/>
        </w:rPr>
      </w:pPr>
      <w:r w:rsidRPr="00CD7577">
        <w:rPr>
          <w:rFonts w:ascii="Arial" w:eastAsia="Times New Roman" w:hAnsi="Arial" w:cs="Arial"/>
          <w:sz w:val="18"/>
          <w:szCs w:val="18"/>
          <w:lang w:eastAsia="es-PE"/>
        </w:rPr>
        <w:t>Thermal characterization indicated a cloud point of 13 °C and a pour point of 11 °C, parameters that are suitable for application in tropical climates such as that of the Ucayali region, where extreme environmental temperatures do not limit its operational performance.</w:t>
      </w:r>
    </w:p>
    <w:p w14:paraId="0CCC1255" w14:textId="77777777" w:rsidR="00CD7577" w:rsidRPr="00CD7577" w:rsidRDefault="00CD7577" w:rsidP="00D53CBE">
      <w:pPr>
        <w:widowControl/>
        <w:autoSpaceDE/>
        <w:autoSpaceDN/>
        <w:jc w:val="both"/>
        <w:rPr>
          <w:rFonts w:ascii="Arial" w:eastAsia="Times New Roman" w:hAnsi="Arial" w:cs="Arial"/>
          <w:sz w:val="18"/>
          <w:szCs w:val="18"/>
          <w:lang w:eastAsia="es-PE"/>
        </w:rPr>
      </w:pPr>
      <w:r w:rsidRPr="00CD7577">
        <w:rPr>
          <w:rFonts w:ascii="Arial" w:eastAsia="Times New Roman" w:hAnsi="Arial" w:cs="Arial"/>
          <w:sz w:val="18"/>
          <w:szCs w:val="18"/>
          <w:lang w:eastAsia="es-PE"/>
        </w:rPr>
        <w:t>Statistical analysis revealed an inverse correlation between biodiesel yield and kinematic viscosity (r = –0.68), with a coefficient of determination R² = 0.79, confirming the significant influence of alkaline catalysis parameters on the final properties of biodiesel.</w:t>
      </w:r>
    </w:p>
    <w:p w14:paraId="0BE80B4B" w14:textId="77777777" w:rsidR="00CD7577" w:rsidRPr="00CD7577" w:rsidRDefault="00CD7577" w:rsidP="00D53CBE">
      <w:pPr>
        <w:widowControl/>
        <w:autoSpaceDE/>
        <w:autoSpaceDN/>
        <w:jc w:val="both"/>
        <w:rPr>
          <w:rFonts w:ascii="Arial" w:eastAsia="Times New Roman" w:hAnsi="Arial" w:cs="Arial"/>
          <w:sz w:val="18"/>
          <w:szCs w:val="18"/>
          <w:lang w:eastAsia="es-PE"/>
        </w:rPr>
      </w:pPr>
      <w:r w:rsidRPr="00CD7577">
        <w:rPr>
          <w:rFonts w:ascii="Arial" w:eastAsia="Times New Roman" w:hAnsi="Arial" w:cs="Arial"/>
          <w:sz w:val="18"/>
          <w:szCs w:val="18"/>
          <w:lang w:eastAsia="es-PE"/>
        </w:rPr>
        <w:t>Overall, the results demonstrate that crude palm oil produced in Ucayali constitutes a viable and sustainable feedstock for the production of high-quality biodiesel through alkaline catalysis, contributing to the efficient use of local resources and the strengthening of bioenergy development in tropical regions.</w:t>
      </w:r>
    </w:p>
    <w:p w14:paraId="6005E980" w14:textId="77777777" w:rsidR="00CD7577" w:rsidRPr="00CD7577" w:rsidRDefault="00CD7577" w:rsidP="00D53CBE">
      <w:pPr>
        <w:widowControl/>
        <w:autoSpaceDE/>
        <w:autoSpaceDN/>
        <w:jc w:val="both"/>
        <w:rPr>
          <w:rFonts w:ascii="Arial" w:eastAsia="Times New Roman" w:hAnsi="Arial" w:cs="Arial"/>
          <w:sz w:val="18"/>
          <w:szCs w:val="18"/>
          <w:lang w:eastAsia="es-PE"/>
        </w:rPr>
      </w:pPr>
      <w:r w:rsidRPr="00CD7577">
        <w:rPr>
          <w:rFonts w:ascii="Arial" w:eastAsia="Times New Roman" w:hAnsi="Arial" w:cs="Arial"/>
          <w:sz w:val="18"/>
          <w:szCs w:val="18"/>
          <w:lang w:eastAsia="es-PE"/>
        </w:rPr>
        <w:t>As a limitation of the study, it is acknowledged that the evaluations were conducted under specific laboratory conditions and using a single feedstock source, which may affect the extrapolation of the results. Future studies are recommended to assess a wider range of operating conditions and different characteristics of crude palm oil.</w:t>
      </w:r>
    </w:p>
    <w:p w14:paraId="3055E549" w14:textId="77777777" w:rsidR="00CD7577" w:rsidRPr="00524069" w:rsidRDefault="00CD7577" w:rsidP="00CD7577">
      <w:pPr>
        <w:ind w:left="102" w:right="2138"/>
        <w:jc w:val="both"/>
        <w:rPr>
          <w:rFonts w:ascii="Arial" w:eastAsia="Arial" w:hAnsi="Arial" w:cs="Arial"/>
          <w:sz w:val="20"/>
          <w:szCs w:val="20"/>
        </w:rPr>
      </w:pPr>
      <w:r w:rsidRPr="00524069">
        <w:rPr>
          <w:rFonts w:ascii="Arial" w:eastAsia="Arial" w:hAnsi="Arial" w:cs="Arial"/>
          <w:b/>
          <w:sz w:val="20"/>
          <w:szCs w:val="20"/>
        </w:rPr>
        <w:t>Ac</w:t>
      </w:r>
      <w:r w:rsidRPr="00524069">
        <w:rPr>
          <w:rFonts w:ascii="Arial" w:eastAsia="Arial" w:hAnsi="Arial" w:cs="Arial"/>
          <w:b/>
          <w:spacing w:val="1"/>
          <w:sz w:val="20"/>
          <w:szCs w:val="20"/>
        </w:rPr>
        <w:t>k</w:t>
      </w:r>
      <w:r w:rsidRPr="00524069">
        <w:rPr>
          <w:rFonts w:ascii="Arial" w:eastAsia="Arial" w:hAnsi="Arial" w:cs="Arial"/>
          <w:b/>
          <w:sz w:val="20"/>
          <w:szCs w:val="20"/>
        </w:rPr>
        <w:t>n</w:t>
      </w:r>
      <w:r w:rsidRPr="00524069">
        <w:rPr>
          <w:rFonts w:ascii="Arial" w:eastAsia="Arial" w:hAnsi="Arial" w:cs="Arial"/>
          <w:b/>
          <w:spacing w:val="1"/>
          <w:sz w:val="20"/>
          <w:szCs w:val="20"/>
        </w:rPr>
        <w:t>o</w:t>
      </w:r>
      <w:r w:rsidRPr="00524069">
        <w:rPr>
          <w:rFonts w:ascii="Arial" w:eastAsia="Arial" w:hAnsi="Arial" w:cs="Arial"/>
          <w:b/>
          <w:spacing w:val="-1"/>
          <w:sz w:val="20"/>
          <w:szCs w:val="20"/>
        </w:rPr>
        <w:t>w</w:t>
      </w:r>
      <w:r w:rsidRPr="00524069">
        <w:rPr>
          <w:rFonts w:ascii="Arial" w:eastAsia="Arial" w:hAnsi="Arial" w:cs="Arial"/>
          <w:b/>
          <w:sz w:val="20"/>
          <w:szCs w:val="20"/>
        </w:rPr>
        <w:t>l</w:t>
      </w:r>
      <w:r w:rsidRPr="00524069">
        <w:rPr>
          <w:rFonts w:ascii="Arial" w:eastAsia="Arial" w:hAnsi="Arial" w:cs="Arial"/>
          <w:b/>
          <w:spacing w:val="1"/>
          <w:sz w:val="20"/>
          <w:szCs w:val="20"/>
        </w:rPr>
        <w:t>e</w:t>
      </w:r>
      <w:r w:rsidRPr="00524069">
        <w:rPr>
          <w:rFonts w:ascii="Arial" w:eastAsia="Arial" w:hAnsi="Arial" w:cs="Arial"/>
          <w:b/>
          <w:sz w:val="20"/>
          <w:szCs w:val="20"/>
        </w:rPr>
        <w:t>d</w:t>
      </w:r>
      <w:r w:rsidRPr="00524069">
        <w:rPr>
          <w:rFonts w:ascii="Arial" w:eastAsia="Arial" w:hAnsi="Arial" w:cs="Arial"/>
          <w:b/>
          <w:spacing w:val="-2"/>
          <w:sz w:val="20"/>
          <w:szCs w:val="20"/>
        </w:rPr>
        <w:t>g</w:t>
      </w:r>
      <w:r w:rsidRPr="00524069">
        <w:rPr>
          <w:rFonts w:ascii="Arial" w:eastAsia="Arial" w:hAnsi="Arial" w:cs="Arial"/>
          <w:b/>
          <w:spacing w:val="1"/>
          <w:sz w:val="20"/>
          <w:szCs w:val="20"/>
        </w:rPr>
        <w:t>me</w:t>
      </w:r>
      <w:r w:rsidRPr="00524069">
        <w:rPr>
          <w:rFonts w:ascii="Arial" w:eastAsia="Arial" w:hAnsi="Arial" w:cs="Arial"/>
          <w:b/>
          <w:sz w:val="20"/>
          <w:szCs w:val="20"/>
        </w:rPr>
        <w:t>nts</w:t>
      </w:r>
    </w:p>
    <w:p w14:paraId="6A49EA46" w14:textId="77777777" w:rsidR="00CD7577" w:rsidRDefault="00CD7577" w:rsidP="00CD7577">
      <w:pPr>
        <w:spacing w:line="220" w:lineRule="exact"/>
      </w:pPr>
    </w:p>
    <w:p w14:paraId="30AD6795" w14:textId="3065F6F4" w:rsidR="00CD7577" w:rsidRDefault="00CD7577" w:rsidP="00CD7577">
      <w:pPr>
        <w:ind w:left="102" w:right="1997"/>
        <w:jc w:val="both"/>
        <w:rPr>
          <w:rFonts w:ascii="Arial" w:eastAsia="Arial" w:hAnsi="Arial" w:cs="Arial"/>
          <w:sz w:val="18"/>
          <w:szCs w:val="18"/>
        </w:rPr>
      </w:pP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pacing w:val="1"/>
          <w:sz w:val="18"/>
          <w:szCs w:val="18"/>
        </w:rPr>
        <w:t>che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1"/>
          <w:sz w:val="18"/>
          <w:szCs w:val="18"/>
        </w:rPr>
        <w:t xml:space="preserve"> fo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ibu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
    <w:p w14:paraId="076B850A" w14:textId="77777777" w:rsidR="00CD7577" w:rsidRDefault="00CD7577" w:rsidP="00CD7577">
      <w:pPr>
        <w:spacing w:line="220" w:lineRule="exact"/>
      </w:pPr>
    </w:p>
    <w:p w14:paraId="42DB962B" w14:textId="77777777" w:rsidR="00CD7577" w:rsidRPr="00524069" w:rsidRDefault="00CD7577" w:rsidP="00CD7577">
      <w:pPr>
        <w:ind w:left="102" w:right="7100"/>
        <w:jc w:val="both"/>
        <w:rPr>
          <w:rFonts w:ascii="Arial" w:eastAsia="Arial" w:hAnsi="Arial" w:cs="Arial"/>
          <w:sz w:val="20"/>
          <w:szCs w:val="20"/>
        </w:rPr>
      </w:pPr>
      <w:r w:rsidRPr="00524069">
        <w:rPr>
          <w:rFonts w:ascii="Arial" w:eastAsia="Arial" w:hAnsi="Arial" w:cs="Arial"/>
          <w:b/>
          <w:sz w:val="20"/>
          <w:szCs w:val="20"/>
        </w:rPr>
        <w:t>Ref</w:t>
      </w:r>
      <w:r w:rsidRPr="00524069">
        <w:rPr>
          <w:rFonts w:ascii="Arial" w:eastAsia="Arial" w:hAnsi="Arial" w:cs="Arial"/>
          <w:b/>
          <w:spacing w:val="1"/>
          <w:sz w:val="20"/>
          <w:szCs w:val="20"/>
        </w:rPr>
        <w:t>e</w:t>
      </w:r>
      <w:r w:rsidRPr="00524069">
        <w:rPr>
          <w:rFonts w:ascii="Arial" w:eastAsia="Arial" w:hAnsi="Arial" w:cs="Arial"/>
          <w:b/>
          <w:sz w:val="20"/>
          <w:szCs w:val="20"/>
        </w:rPr>
        <w:t>ren</w:t>
      </w:r>
      <w:r w:rsidRPr="00524069">
        <w:rPr>
          <w:rFonts w:ascii="Arial" w:eastAsia="Arial" w:hAnsi="Arial" w:cs="Arial"/>
          <w:b/>
          <w:spacing w:val="1"/>
          <w:sz w:val="20"/>
          <w:szCs w:val="20"/>
        </w:rPr>
        <w:t>c</w:t>
      </w:r>
      <w:r w:rsidRPr="00524069">
        <w:rPr>
          <w:rFonts w:ascii="Arial" w:eastAsia="Arial" w:hAnsi="Arial" w:cs="Arial"/>
          <w:b/>
          <w:spacing w:val="-2"/>
          <w:sz w:val="20"/>
          <w:szCs w:val="20"/>
        </w:rPr>
        <w:t>e</w:t>
      </w:r>
      <w:r w:rsidRPr="00524069">
        <w:rPr>
          <w:rFonts w:ascii="Arial" w:eastAsia="Arial" w:hAnsi="Arial" w:cs="Arial"/>
          <w:b/>
          <w:sz w:val="20"/>
          <w:szCs w:val="20"/>
        </w:rPr>
        <w:t>s</w:t>
      </w:r>
    </w:p>
    <w:p w14:paraId="58AA96C0" w14:textId="25F954A5" w:rsidR="00BB063F" w:rsidRPr="00524069" w:rsidRDefault="00BB063F" w:rsidP="00524069">
      <w:pPr>
        <w:pStyle w:val="NormalWeb"/>
        <w:spacing w:before="0" w:beforeAutospacing="0" w:after="0" w:afterAutospacing="0"/>
        <w:jc w:val="both"/>
        <w:rPr>
          <w:rFonts w:ascii="Arial MT" w:hAnsi="Arial MT"/>
          <w:sz w:val="18"/>
          <w:szCs w:val="18"/>
          <w:lang w:val="en-US"/>
        </w:rPr>
      </w:pPr>
      <w:r w:rsidRPr="00524069">
        <w:rPr>
          <w:rFonts w:ascii="Arial MT" w:hAnsi="Arial MT"/>
          <w:sz w:val="18"/>
          <w:szCs w:val="18"/>
          <w:lang w:val="en-US"/>
        </w:rPr>
        <w:t xml:space="preserve">Adewale, P., Dumont, M. J., &amp; Ngadi, M. (2015). Recent trends of biodiesel production from animal fat wastes and associated production techniques. Renewable and Sustainable Energy Reviews, 45, 574–588. </w:t>
      </w:r>
      <w:hyperlink r:id="rId8" w:history="1">
        <w:r w:rsidRPr="00524069">
          <w:rPr>
            <w:rStyle w:val="Hipervnculo"/>
            <w:rFonts w:ascii="Arial MT" w:hAnsi="Arial MT"/>
            <w:color w:val="auto"/>
            <w:sz w:val="18"/>
            <w:szCs w:val="18"/>
            <w:lang w:val="en-US"/>
          </w:rPr>
          <w:t>https://doi.org/10.1016/j.rser.2015.02.039</w:t>
        </w:r>
      </w:hyperlink>
    </w:p>
    <w:p w14:paraId="2366327F"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proofErr w:type="spellStart"/>
      <w:r w:rsidRPr="00524069">
        <w:rPr>
          <w:rFonts w:ascii="Arial MT" w:hAnsi="Arial MT"/>
          <w:sz w:val="18"/>
          <w:szCs w:val="18"/>
        </w:rPr>
        <w:t>Atabani</w:t>
      </w:r>
      <w:proofErr w:type="spellEnd"/>
      <w:r w:rsidRPr="00524069">
        <w:rPr>
          <w:rFonts w:ascii="Arial MT" w:hAnsi="Arial MT"/>
          <w:sz w:val="18"/>
          <w:szCs w:val="18"/>
        </w:rPr>
        <w:t xml:space="preserve">, A. E., </w:t>
      </w:r>
      <w:proofErr w:type="spellStart"/>
      <w:r w:rsidRPr="00524069">
        <w:rPr>
          <w:rFonts w:ascii="Arial MT" w:hAnsi="Arial MT"/>
          <w:sz w:val="18"/>
          <w:szCs w:val="18"/>
        </w:rPr>
        <w:t>Silitonga</w:t>
      </w:r>
      <w:proofErr w:type="spellEnd"/>
      <w:r w:rsidRPr="00524069">
        <w:rPr>
          <w:rFonts w:ascii="Arial MT" w:hAnsi="Arial MT"/>
          <w:sz w:val="18"/>
          <w:szCs w:val="18"/>
        </w:rPr>
        <w:t xml:space="preserve">, A. S., Badruddin, I. A., Mahlia, T. M. I., </w:t>
      </w:r>
      <w:proofErr w:type="spellStart"/>
      <w:r w:rsidRPr="00524069">
        <w:rPr>
          <w:rFonts w:ascii="Arial MT" w:hAnsi="Arial MT"/>
          <w:sz w:val="18"/>
          <w:szCs w:val="18"/>
        </w:rPr>
        <w:t>Masjuki</w:t>
      </w:r>
      <w:proofErr w:type="spellEnd"/>
      <w:r w:rsidRPr="00524069">
        <w:rPr>
          <w:rFonts w:ascii="Arial MT" w:hAnsi="Arial MT"/>
          <w:sz w:val="18"/>
          <w:szCs w:val="18"/>
        </w:rPr>
        <w:t xml:space="preserve">, H. H., &amp; </w:t>
      </w:r>
      <w:proofErr w:type="spellStart"/>
      <w:r w:rsidRPr="00524069">
        <w:rPr>
          <w:rFonts w:ascii="Arial MT" w:hAnsi="Arial MT"/>
          <w:sz w:val="18"/>
          <w:szCs w:val="18"/>
        </w:rPr>
        <w:t>Mekhilef</w:t>
      </w:r>
      <w:proofErr w:type="spellEnd"/>
      <w:r w:rsidRPr="00524069">
        <w:rPr>
          <w:rFonts w:ascii="Arial MT" w:hAnsi="Arial MT"/>
          <w:sz w:val="18"/>
          <w:szCs w:val="18"/>
        </w:rPr>
        <w:t xml:space="preserve">, S. (2012). </w:t>
      </w:r>
      <w:r w:rsidRPr="00524069">
        <w:rPr>
          <w:rFonts w:ascii="Arial MT" w:hAnsi="Arial MT"/>
          <w:sz w:val="18"/>
          <w:szCs w:val="18"/>
          <w:lang w:val="en-US"/>
        </w:rPr>
        <w:t xml:space="preserve">A comprehensive review on biodiesel as an alternative energy resource and its characteristics. </w:t>
      </w:r>
      <w:r w:rsidRPr="00524069">
        <w:rPr>
          <w:rStyle w:val="nfasis"/>
          <w:rFonts w:ascii="Arial MT" w:hAnsi="Arial MT"/>
          <w:sz w:val="18"/>
          <w:szCs w:val="18"/>
          <w:lang w:val="en-US"/>
        </w:rPr>
        <w:t>Renewable and Sustainable Energy Reviews</w:t>
      </w:r>
      <w:r w:rsidRPr="00524069">
        <w:rPr>
          <w:rFonts w:ascii="Arial MT" w:hAnsi="Arial MT"/>
          <w:sz w:val="18"/>
          <w:szCs w:val="18"/>
          <w:lang w:val="en-US"/>
        </w:rPr>
        <w:t>, 16(4), 2070–2093. https://doi.org/10.1016/j.rser.2012.01.003</w:t>
      </w:r>
    </w:p>
    <w:p w14:paraId="22ABF773"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proofErr w:type="spellStart"/>
      <w:r w:rsidRPr="00524069">
        <w:rPr>
          <w:rFonts w:ascii="Arial MT" w:hAnsi="Arial MT"/>
          <w:sz w:val="18"/>
          <w:szCs w:val="18"/>
          <w:lang w:val="en-US"/>
        </w:rPr>
        <w:t>Basiron</w:t>
      </w:r>
      <w:proofErr w:type="spellEnd"/>
      <w:r w:rsidRPr="00524069">
        <w:rPr>
          <w:rFonts w:ascii="Arial MT" w:hAnsi="Arial MT"/>
          <w:sz w:val="18"/>
          <w:szCs w:val="18"/>
          <w:lang w:val="en-US"/>
        </w:rPr>
        <w:t xml:space="preserve">, Y. (2007). Palm oil production through sustainable plantations. </w:t>
      </w:r>
      <w:r w:rsidRPr="00524069">
        <w:rPr>
          <w:rStyle w:val="nfasis"/>
          <w:rFonts w:ascii="Arial MT" w:hAnsi="Arial MT"/>
          <w:sz w:val="18"/>
          <w:szCs w:val="18"/>
          <w:lang w:val="en-US"/>
        </w:rPr>
        <w:t>European Journal of Lipid Science and Technology</w:t>
      </w:r>
      <w:r w:rsidRPr="00524069">
        <w:rPr>
          <w:rFonts w:ascii="Arial MT" w:hAnsi="Arial MT"/>
          <w:sz w:val="18"/>
          <w:szCs w:val="18"/>
          <w:lang w:val="en-US"/>
        </w:rPr>
        <w:t>, 109(4), 289–295. https://doi.org/10.1002/ejlt.200600223</w:t>
      </w:r>
    </w:p>
    <w:p w14:paraId="3A40AAEE"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proofErr w:type="spellStart"/>
      <w:r w:rsidRPr="00524069">
        <w:rPr>
          <w:rFonts w:ascii="Arial MT" w:hAnsi="Arial MT"/>
          <w:sz w:val="18"/>
          <w:szCs w:val="18"/>
          <w:lang w:val="en-US"/>
        </w:rPr>
        <w:t>Demirbas</w:t>
      </w:r>
      <w:proofErr w:type="spellEnd"/>
      <w:r w:rsidRPr="00524069">
        <w:rPr>
          <w:rFonts w:ascii="Arial MT" w:hAnsi="Arial MT"/>
          <w:sz w:val="18"/>
          <w:szCs w:val="18"/>
          <w:lang w:val="en-US"/>
        </w:rPr>
        <w:t xml:space="preserve">, A. (2009). Political, economic and environmental impacts of biofuels: A review. </w:t>
      </w:r>
      <w:r w:rsidRPr="00524069">
        <w:rPr>
          <w:rStyle w:val="nfasis"/>
          <w:rFonts w:ascii="Arial MT" w:hAnsi="Arial MT"/>
          <w:sz w:val="18"/>
          <w:szCs w:val="18"/>
          <w:lang w:val="en-US"/>
        </w:rPr>
        <w:t>Applied Energy</w:t>
      </w:r>
      <w:r w:rsidRPr="00524069">
        <w:rPr>
          <w:rFonts w:ascii="Arial MT" w:hAnsi="Arial MT"/>
          <w:sz w:val="18"/>
          <w:szCs w:val="18"/>
          <w:lang w:val="en-US"/>
        </w:rPr>
        <w:t>, 86(S1), S108–S117. https://doi.org/10.1016/j.apenergy.2009.04.036</w:t>
      </w:r>
    </w:p>
    <w:p w14:paraId="5DEA301F"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r w:rsidRPr="00524069">
        <w:rPr>
          <w:rFonts w:ascii="Arial MT" w:hAnsi="Arial MT"/>
          <w:sz w:val="18"/>
          <w:szCs w:val="18"/>
        </w:rPr>
        <w:t xml:space="preserve">Fukuda, H., Kondo, A., &amp; Noda, H. (2001). </w:t>
      </w:r>
      <w:r w:rsidRPr="00524069">
        <w:rPr>
          <w:rFonts w:ascii="Arial MT" w:hAnsi="Arial MT"/>
          <w:sz w:val="18"/>
          <w:szCs w:val="18"/>
          <w:lang w:val="en-US"/>
        </w:rPr>
        <w:t xml:space="preserve">Biodiesel fuel production by transesterification of oils. </w:t>
      </w:r>
      <w:r w:rsidRPr="00524069">
        <w:rPr>
          <w:rStyle w:val="nfasis"/>
          <w:rFonts w:ascii="Arial MT" w:hAnsi="Arial MT"/>
          <w:sz w:val="18"/>
          <w:szCs w:val="18"/>
          <w:lang w:val="en-US"/>
        </w:rPr>
        <w:t>Journal of Bioscience and Bioengineering</w:t>
      </w:r>
      <w:r w:rsidRPr="00524069">
        <w:rPr>
          <w:rFonts w:ascii="Arial MT" w:hAnsi="Arial MT"/>
          <w:sz w:val="18"/>
          <w:szCs w:val="18"/>
          <w:lang w:val="en-US"/>
        </w:rPr>
        <w:t>, 92(5), 405–416. https://doi.org/10.1016/S1389-1723(01)80288-7</w:t>
      </w:r>
    </w:p>
    <w:p w14:paraId="7C44EFEC"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r w:rsidRPr="00524069">
        <w:rPr>
          <w:rFonts w:ascii="Arial MT" w:hAnsi="Arial MT"/>
          <w:sz w:val="18"/>
          <w:szCs w:val="18"/>
          <w:lang w:val="en-US"/>
        </w:rPr>
        <w:t xml:space="preserve">Knothe, G. (2010). Biodiesel and renewable diesel: A comparison. </w:t>
      </w:r>
      <w:r w:rsidRPr="00524069">
        <w:rPr>
          <w:rStyle w:val="nfasis"/>
          <w:rFonts w:ascii="Arial MT" w:hAnsi="Arial MT"/>
          <w:sz w:val="18"/>
          <w:szCs w:val="18"/>
          <w:lang w:val="en-US"/>
        </w:rPr>
        <w:t>Progress in Energy and Combustion Science</w:t>
      </w:r>
      <w:r w:rsidRPr="00524069">
        <w:rPr>
          <w:rFonts w:ascii="Arial MT" w:hAnsi="Arial MT"/>
          <w:sz w:val="18"/>
          <w:szCs w:val="18"/>
          <w:lang w:val="en-US"/>
        </w:rPr>
        <w:t>, 36(3), 364–373. https://doi.org/10.1016/j.pecs.2009.11.004</w:t>
      </w:r>
    </w:p>
    <w:p w14:paraId="7BB528B1"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r w:rsidRPr="00524069">
        <w:rPr>
          <w:rFonts w:ascii="Arial MT" w:hAnsi="Arial MT"/>
          <w:sz w:val="18"/>
          <w:szCs w:val="18"/>
          <w:lang w:val="en-US"/>
        </w:rPr>
        <w:t xml:space="preserve">Knothe, G., &amp; Razon, L. F. (2017). Biodiesel fuels. </w:t>
      </w:r>
      <w:r w:rsidRPr="00524069">
        <w:rPr>
          <w:rStyle w:val="nfasis"/>
          <w:rFonts w:ascii="Arial MT" w:hAnsi="Arial MT"/>
          <w:sz w:val="18"/>
          <w:szCs w:val="18"/>
          <w:lang w:val="en-US"/>
        </w:rPr>
        <w:t>Progress in Energy and Combustion Science</w:t>
      </w:r>
      <w:r w:rsidRPr="00524069">
        <w:rPr>
          <w:rFonts w:ascii="Arial MT" w:hAnsi="Arial MT"/>
          <w:sz w:val="18"/>
          <w:szCs w:val="18"/>
          <w:lang w:val="en-US"/>
        </w:rPr>
        <w:t>, 58, 36–59. https://doi.org/10.1016/j.pecs.2016.08.001</w:t>
      </w:r>
    </w:p>
    <w:p w14:paraId="6FE70728"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r w:rsidRPr="00524069">
        <w:rPr>
          <w:rFonts w:ascii="Arial MT" w:hAnsi="Arial MT"/>
          <w:sz w:val="18"/>
          <w:szCs w:val="18"/>
          <w:lang w:val="en-US"/>
        </w:rPr>
        <w:t xml:space="preserve">Leung, D. Y. C., Wu, X., &amp; Leung, M. K. H. (2010). A review on biodiesel production using catalyzed transesterification. </w:t>
      </w:r>
      <w:r w:rsidRPr="00524069">
        <w:rPr>
          <w:rStyle w:val="nfasis"/>
          <w:rFonts w:ascii="Arial MT" w:hAnsi="Arial MT"/>
          <w:sz w:val="18"/>
          <w:szCs w:val="18"/>
          <w:lang w:val="en-US"/>
        </w:rPr>
        <w:t>Applied Energy</w:t>
      </w:r>
      <w:r w:rsidRPr="00524069">
        <w:rPr>
          <w:rFonts w:ascii="Arial MT" w:hAnsi="Arial MT"/>
          <w:sz w:val="18"/>
          <w:szCs w:val="18"/>
          <w:lang w:val="en-US"/>
        </w:rPr>
        <w:t>, 87(4), 1083–1095. https://doi.org/10.1016/j.apenergy.2009.10.006</w:t>
      </w:r>
    </w:p>
    <w:p w14:paraId="0D0A894A"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r w:rsidRPr="00524069">
        <w:rPr>
          <w:rFonts w:ascii="Arial MT" w:hAnsi="Arial MT"/>
          <w:sz w:val="18"/>
          <w:szCs w:val="18"/>
          <w:lang w:val="en-US"/>
        </w:rPr>
        <w:t xml:space="preserve">Ma, F., &amp; Hanna, M. A. (1999). Biodiesel production: A review. </w:t>
      </w:r>
      <w:r w:rsidRPr="00524069">
        <w:rPr>
          <w:rStyle w:val="nfasis"/>
          <w:rFonts w:ascii="Arial MT" w:hAnsi="Arial MT"/>
          <w:sz w:val="18"/>
          <w:szCs w:val="18"/>
          <w:lang w:val="en-US"/>
        </w:rPr>
        <w:t>Bioresource Technology</w:t>
      </w:r>
      <w:r w:rsidRPr="00524069">
        <w:rPr>
          <w:rFonts w:ascii="Arial MT" w:hAnsi="Arial MT"/>
          <w:sz w:val="18"/>
          <w:szCs w:val="18"/>
          <w:lang w:val="en-US"/>
        </w:rPr>
        <w:t>, 70(1), 1–15. https://doi.org/10.1016/S0960-8524(99)00025-5</w:t>
      </w:r>
    </w:p>
    <w:p w14:paraId="684183D1"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proofErr w:type="spellStart"/>
      <w:r w:rsidRPr="00524069">
        <w:rPr>
          <w:rFonts w:ascii="Arial MT" w:hAnsi="Arial MT"/>
          <w:sz w:val="18"/>
          <w:szCs w:val="18"/>
        </w:rPr>
        <w:t>Mofijur</w:t>
      </w:r>
      <w:proofErr w:type="spellEnd"/>
      <w:r w:rsidRPr="00524069">
        <w:rPr>
          <w:rFonts w:ascii="Arial MT" w:hAnsi="Arial MT"/>
          <w:sz w:val="18"/>
          <w:szCs w:val="18"/>
        </w:rPr>
        <w:t xml:space="preserve">, M., Rasul, M. G., Hyde, J., Bhuiya, M. M. K., &amp; Azad, A. K. (2016). </w:t>
      </w:r>
      <w:r w:rsidRPr="00524069">
        <w:rPr>
          <w:rFonts w:ascii="Arial MT" w:hAnsi="Arial MT"/>
          <w:sz w:val="18"/>
          <w:szCs w:val="18"/>
          <w:lang w:val="en-US"/>
        </w:rPr>
        <w:t xml:space="preserve">Role of biofuel and their blends on emission reduction. Renewable and Sustainable Energy Reviews, 53, 265–278. </w:t>
      </w:r>
    </w:p>
    <w:p w14:paraId="346AE203"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proofErr w:type="spellStart"/>
      <w:r w:rsidRPr="00524069">
        <w:rPr>
          <w:rFonts w:ascii="Arial MT" w:hAnsi="Arial MT"/>
          <w:sz w:val="18"/>
          <w:szCs w:val="18"/>
          <w:lang w:val="en-US"/>
        </w:rPr>
        <w:t>Sorda</w:t>
      </w:r>
      <w:proofErr w:type="spellEnd"/>
      <w:r w:rsidRPr="00524069">
        <w:rPr>
          <w:rFonts w:ascii="Arial MT" w:hAnsi="Arial MT"/>
          <w:sz w:val="18"/>
          <w:szCs w:val="18"/>
          <w:lang w:val="en-US"/>
        </w:rPr>
        <w:t>, G., Banse, M., &amp; Kemfert, C. (2010). An overview of biofuel policies across the world. Energy Policy, 38(11), 6977–6988.</w:t>
      </w:r>
      <w:hyperlink r:id="rId9" w:history="1">
        <w:r w:rsidRPr="00524069">
          <w:rPr>
            <w:sz w:val="18"/>
            <w:szCs w:val="18"/>
            <w:lang w:val="en-US"/>
          </w:rPr>
          <w:t>https://doi.org/10.1016/j.enpol.2010.06.066</w:t>
        </w:r>
      </w:hyperlink>
    </w:p>
    <w:p w14:paraId="036D54F3" w14:textId="77777777" w:rsidR="00BB063F" w:rsidRPr="00524069" w:rsidRDefault="00BB063F" w:rsidP="00524069">
      <w:pPr>
        <w:pStyle w:val="NormalWeb"/>
        <w:spacing w:before="0" w:beforeAutospacing="0" w:after="0" w:afterAutospacing="0"/>
        <w:jc w:val="both"/>
        <w:rPr>
          <w:rFonts w:ascii="Arial MT" w:hAnsi="Arial MT"/>
          <w:sz w:val="18"/>
          <w:szCs w:val="18"/>
          <w:lang w:val="en-US"/>
        </w:rPr>
      </w:pPr>
      <w:r w:rsidRPr="00524069">
        <w:rPr>
          <w:rFonts w:ascii="Arial MT" w:hAnsi="Arial MT"/>
          <w:sz w:val="18"/>
          <w:szCs w:val="18"/>
          <w:lang w:val="en-US"/>
        </w:rPr>
        <w:t xml:space="preserve">Yaşar, F. (2019). Biodiesel production via transesterification and its energy efficiency. Fuel, 252, 80–89. </w:t>
      </w:r>
      <w:hyperlink r:id="rId10" w:history="1">
        <w:r w:rsidRPr="00524069">
          <w:rPr>
            <w:rFonts w:ascii="Arial MT" w:hAnsi="Arial MT"/>
            <w:sz w:val="18"/>
            <w:szCs w:val="18"/>
            <w:lang w:val="en-US"/>
          </w:rPr>
          <w:t>https://doi.org/10.1016/j.fuel.2019.04.036</w:t>
        </w:r>
      </w:hyperlink>
    </w:p>
    <w:p w14:paraId="275D40A9" w14:textId="77777777" w:rsidR="000D69A2" w:rsidRPr="00524069" w:rsidRDefault="000D69A2" w:rsidP="00524069">
      <w:pPr>
        <w:pStyle w:val="Textoindependiente"/>
        <w:jc w:val="both"/>
        <w:rPr>
          <w:sz w:val="18"/>
          <w:szCs w:val="18"/>
        </w:rPr>
      </w:pPr>
    </w:p>
    <w:sectPr w:rsidR="000D69A2" w:rsidRPr="00524069" w:rsidSect="00425EE5">
      <w:type w:val="continuous"/>
      <w:pgSz w:w="11920" w:h="16840"/>
      <w:pgMar w:top="1701" w:right="1418"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P6960">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E7D"/>
    <w:multiLevelType w:val="hybridMultilevel"/>
    <w:tmpl w:val="46E655E8"/>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8B953F7"/>
    <w:multiLevelType w:val="hybridMultilevel"/>
    <w:tmpl w:val="55783CF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883710459">
    <w:abstractNumId w:val="1"/>
  </w:num>
  <w:num w:numId="2" w16cid:durableId="73381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4D"/>
    <w:rsid w:val="000631FC"/>
    <w:rsid w:val="0007616C"/>
    <w:rsid w:val="000950AE"/>
    <w:rsid w:val="000C6185"/>
    <w:rsid w:val="000D69A2"/>
    <w:rsid w:val="000F74DD"/>
    <w:rsid w:val="001D02C9"/>
    <w:rsid w:val="00234192"/>
    <w:rsid w:val="002761FF"/>
    <w:rsid w:val="00385B1A"/>
    <w:rsid w:val="00425EE5"/>
    <w:rsid w:val="005117D7"/>
    <w:rsid w:val="00524069"/>
    <w:rsid w:val="00530E4D"/>
    <w:rsid w:val="00584224"/>
    <w:rsid w:val="005868F8"/>
    <w:rsid w:val="00587C34"/>
    <w:rsid w:val="006F7423"/>
    <w:rsid w:val="00766AC6"/>
    <w:rsid w:val="00817FC4"/>
    <w:rsid w:val="0082256B"/>
    <w:rsid w:val="008620EE"/>
    <w:rsid w:val="00927F77"/>
    <w:rsid w:val="00933A9E"/>
    <w:rsid w:val="0094254E"/>
    <w:rsid w:val="009503BB"/>
    <w:rsid w:val="00993848"/>
    <w:rsid w:val="009B6C35"/>
    <w:rsid w:val="009E0601"/>
    <w:rsid w:val="00A35811"/>
    <w:rsid w:val="00B373B8"/>
    <w:rsid w:val="00BB063F"/>
    <w:rsid w:val="00BD4170"/>
    <w:rsid w:val="00BF3142"/>
    <w:rsid w:val="00CD7577"/>
    <w:rsid w:val="00D036F4"/>
    <w:rsid w:val="00D53CBE"/>
    <w:rsid w:val="00DE5EA0"/>
    <w:rsid w:val="00DF0282"/>
    <w:rsid w:val="00DF67E4"/>
    <w:rsid w:val="00E0282C"/>
    <w:rsid w:val="00EE21B5"/>
    <w:rsid w:val="00F1787F"/>
    <w:rsid w:val="00F37B45"/>
    <w:rsid w:val="00F533F4"/>
    <w:rsid w:val="00FF4B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DF66"/>
  <w15:docId w15:val="{59124E5A-0CA5-4A3C-AB65-0C4E29A2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next w:val="Normal"/>
    <w:link w:val="Ttulo1Car"/>
    <w:uiPriority w:val="9"/>
    <w:qFormat/>
    <w:rsid w:val="00DF67E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DF67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F67E4"/>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63"/>
      <w:ind w:left="142" w:right="205"/>
      <w:jc w:val="center"/>
    </w:pPr>
    <w:rPr>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DF67E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DF67E4"/>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semiHidden/>
    <w:rsid w:val="00DF67E4"/>
    <w:rPr>
      <w:rFonts w:asciiTheme="majorHAnsi" w:eastAsiaTheme="majorEastAsia" w:hAnsiTheme="majorHAnsi" w:cstheme="majorBidi"/>
      <w:color w:val="365F91" w:themeColor="accent1" w:themeShade="BF"/>
      <w:sz w:val="26"/>
      <w:szCs w:val="26"/>
    </w:rPr>
  </w:style>
  <w:style w:type="character" w:styleId="Fuerte">
    <w:name w:val="Strong"/>
    <w:basedOn w:val="Fuentedeprrafopredeter"/>
    <w:uiPriority w:val="22"/>
    <w:qFormat/>
    <w:rsid w:val="00DF67E4"/>
    <w:rPr>
      <w:b/>
      <w:bCs/>
    </w:rPr>
  </w:style>
  <w:style w:type="paragraph" w:styleId="NormalWeb">
    <w:name w:val="Normal (Web)"/>
    <w:basedOn w:val="Normal"/>
    <w:uiPriority w:val="99"/>
    <w:unhideWhenUsed/>
    <w:rsid w:val="00DF67E4"/>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DF67E4"/>
    <w:rPr>
      <w:i/>
      <w:iCs/>
    </w:rPr>
  </w:style>
  <w:style w:type="paragraph" w:customStyle="1" w:styleId="CETTitle">
    <w:name w:val="CET Title"/>
    <w:next w:val="Normal"/>
    <w:link w:val="CETTitleCarattere"/>
    <w:rsid w:val="00F37B45"/>
    <w:pPr>
      <w:widowControl/>
      <w:suppressAutoHyphens/>
      <w:autoSpaceDE/>
      <w:autoSpaceDN/>
      <w:spacing w:before="480" w:after="120" w:line="264" w:lineRule="auto"/>
      <w:jc w:val="center"/>
      <w:outlineLvl w:val="0"/>
    </w:pPr>
    <w:rPr>
      <w:rFonts w:ascii="Arial" w:eastAsia="Times New Roman" w:hAnsi="Arial" w:cs="Times New Roman"/>
      <w:sz w:val="32"/>
      <w:szCs w:val="20"/>
      <w:lang w:val="en-GB"/>
    </w:rPr>
  </w:style>
  <w:style w:type="character" w:customStyle="1" w:styleId="CETTitleCarattere">
    <w:name w:val="CET Title Carattere"/>
    <w:link w:val="CETTitle"/>
    <w:rsid w:val="00F37B45"/>
    <w:rPr>
      <w:rFonts w:ascii="Arial" w:eastAsia="Times New Roman" w:hAnsi="Arial" w:cs="Times New Roman"/>
      <w:sz w:val="32"/>
      <w:szCs w:val="20"/>
      <w:lang w:val="en-GB"/>
    </w:rPr>
  </w:style>
  <w:style w:type="paragraph" w:styleId="Descripcin">
    <w:name w:val="caption"/>
    <w:basedOn w:val="Normal"/>
    <w:next w:val="Normal"/>
    <w:uiPriority w:val="35"/>
    <w:unhideWhenUsed/>
    <w:qFormat/>
    <w:rsid w:val="005117D7"/>
    <w:pPr>
      <w:spacing w:after="200"/>
    </w:pPr>
    <w:rPr>
      <w:i/>
      <w:iCs/>
      <w:color w:val="1F497D" w:themeColor="text2"/>
      <w:sz w:val="18"/>
      <w:szCs w:val="18"/>
    </w:rPr>
  </w:style>
  <w:style w:type="character" w:styleId="Hipervnculo">
    <w:name w:val="Hyperlink"/>
    <w:basedOn w:val="Fuentedeprrafopredeter"/>
    <w:uiPriority w:val="99"/>
    <w:unhideWhenUsed/>
    <w:rsid w:val="00B373B8"/>
    <w:rPr>
      <w:color w:val="0000FF" w:themeColor="hyperlink"/>
      <w:u w:val="single"/>
    </w:rPr>
  </w:style>
  <w:style w:type="table" w:styleId="Tablanormal2">
    <w:name w:val="Plain Table 2"/>
    <w:basedOn w:val="Tablanormal"/>
    <w:uiPriority w:val="42"/>
    <w:rsid w:val="009938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6537">
      <w:bodyDiv w:val="1"/>
      <w:marLeft w:val="0"/>
      <w:marRight w:val="0"/>
      <w:marTop w:val="0"/>
      <w:marBottom w:val="0"/>
      <w:divBdr>
        <w:top w:val="none" w:sz="0" w:space="0" w:color="auto"/>
        <w:left w:val="none" w:sz="0" w:space="0" w:color="auto"/>
        <w:bottom w:val="none" w:sz="0" w:space="0" w:color="auto"/>
        <w:right w:val="none" w:sz="0" w:space="0" w:color="auto"/>
      </w:divBdr>
    </w:div>
    <w:div w:id="1799950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5.02.039" TargetMode="External"/><Relationship Id="rId3" Type="http://schemas.openxmlformats.org/officeDocument/2006/relationships/settings" Target="settings.xml"/><Relationship Id="rId7" Type="http://schemas.openxmlformats.org/officeDocument/2006/relationships/hyperlink" Target="mailto:fgueres@unmsm.edu.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i.org/10.1016/j.fuel.2019.04.036" TargetMode="External"/><Relationship Id="rId4" Type="http://schemas.openxmlformats.org/officeDocument/2006/relationships/webSettings" Target="webSettings.xml"/><Relationship Id="rId9" Type="http://schemas.openxmlformats.org/officeDocument/2006/relationships/hyperlink" Target="https://doi.org/10.1016/j.enpol.2010.06.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2646</Words>
  <Characters>14559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Fiorella Vanessa Guere Salazar</cp:lastModifiedBy>
  <cp:revision>2</cp:revision>
  <dcterms:created xsi:type="dcterms:W3CDTF">2026-03-28T21:41:00Z</dcterms:created>
  <dcterms:modified xsi:type="dcterms:W3CDTF">2026-03-28T21:41:00Z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para Microsoft 365</vt:lpwstr>
  </property>
  <property fmtid="{D5CDD505-2E9C-101B-9397-08002B2CF9AE}" pid="4" name="LastSaved">
    <vt:filetime>2025-10-10T00:00:00Z</vt:filetime>
  </property>
  <property fmtid="{D5CDD505-2E9C-101B-9397-08002B2CF9AE}" pid="5" name="Producer">
    <vt:lpwstr>Microsoft® Word para Microsoft 365</vt:lpwstr>
  </property>
</Properties>
</file>